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77777777" w:rsidR="005F3A73" w:rsidRPr="00A96E09" w:rsidRDefault="005F3A73" w:rsidP="005F3A73">
      <w:pPr>
        <w:jc w:val="both"/>
        <w:rPr>
          <w:b/>
          <w:sz w:val="18"/>
          <w:szCs w:val="18"/>
          <w:lang w:val="ro-MD"/>
        </w:rPr>
      </w:pPr>
      <w:r w:rsidRPr="00A96E09">
        <w:rPr>
          <w:b/>
          <w:sz w:val="18"/>
          <w:szCs w:val="18"/>
          <w:lang w:val="ro-MD"/>
        </w:rPr>
        <w:t xml:space="preserve">                                                                                                                                                                                                                                                                                                                                                                                                                                                           Tabelul de concordanţă </w:t>
      </w:r>
    </w:p>
    <w:p w14:paraId="73E36AB5" w14:textId="77777777" w:rsidR="005F3A73" w:rsidRPr="00A96E09" w:rsidRDefault="005F3A73" w:rsidP="005F3A73">
      <w:pPr>
        <w:jc w:val="both"/>
        <w:rPr>
          <w:b/>
          <w:sz w:val="18"/>
          <w:szCs w:val="18"/>
          <w:lang w:val="ro-MD"/>
        </w:rPr>
      </w:pPr>
    </w:p>
    <w:p w14:paraId="68723932" w14:textId="6551AF6B" w:rsidR="00B93C1C" w:rsidRPr="00A530A2" w:rsidRDefault="00B93C1C" w:rsidP="005F3A73">
      <w:pPr>
        <w:jc w:val="both"/>
        <w:rPr>
          <w:b/>
          <w:bCs/>
          <w:sz w:val="18"/>
          <w:szCs w:val="18"/>
          <w:lang w:val="en-US"/>
        </w:rPr>
      </w:pPr>
      <w:r w:rsidRPr="00A96E09">
        <w:rPr>
          <w:rFonts w:eastAsia="Arial Unicode MS"/>
          <w:b/>
          <w:bCs/>
          <w:sz w:val="18"/>
          <w:szCs w:val="18"/>
          <w:lang w:val="ro-MD"/>
        </w:rPr>
        <w:t xml:space="preserve">Regulamentul nr. 575/2013 al Parlamentului European și al Consiliului din 26 iunie 2013 privind cerințele prudențiale pentru instituțiile de credit și de modificare a Regulamentului (UE) nr. 648/2012, publicat în Jurnalul Oficial al Uniuni Europene L 176 din 27 iunie 2013, CELEX: 32013R0575, așa cum a fost modificat ultima dată prin Regulamentul (UE) </w:t>
      </w:r>
      <w:r w:rsidR="00A530A2" w:rsidRPr="00A530A2">
        <w:rPr>
          <w:b/>
          <w:bCs/>
          <w:sz w:val="18"/>
          <w:szCs w:val="18"/>
          <w:lang w:val="en-US"/>
        </w:rPr>
        <w:t>2025/1215 al Parlamentului European și al Consiliului din 25 iunie 2025</w:t>
      </w:r>
    </w:p>
    <w:tbl>
      <w:tblPr>
        <w:tblStyle w:val="TableGrid"/>
        <w:tblW w:w="14406" w:type="dxa"/>
        <w:tblLook w:val="04A0" w:firstRow="1" w:lastRow="0" w:firstColumn="1" w:lastColumn="0" w:noHBand="0" w:noVBand="1"/>
      </w:tblPr>
      <w:tblGrid>
        <w:gridCol w:w="1036"/>
        <w:gridCol w:w="13370"/>
      </w:tblGrid>
      <w:tr w:rsidR="005C1753" w:rsidRPr="00EB7E01" w14:paraId="4234AB45" w14:textId="77777777" w:rsidTr="00F53042">
        <w:tc>
          <w:tcPr>
            <w:tcW w:w="1036" w:type="dxa"/>
            <w:vMerge w:val="restart"/>
          </w:tcPr>
          <w:p w14:paraId="156328E2" w14:textId="61E2B53F" w:rsidR="005C1753" w:rsidRPr="00A96E09" w:rsidRDefault="005736A5" w:rsidP="005736A5">
            <w:pPr>
              <w:tabs>
                <w:tab w:val="left" w:pos="360"/>
              </w:tabs>
              <w:ind w:left="360"/>
              <w:jc w:val="center"/>
              <w:rPr>
                <w:rFonts w:eastAsia="Arial Unicode MS"/>
                <w:b/>
                <w:bCs/>
                <w:sz w:val="18"/>
                <w:szCs w:val="18"/>
                <w:lang w:val="ro-MD"/>
              </w:rPr>
            </w:pPr>
            <w:r w:rsidRPr="00A96E09">
              <w:rPr>
                <w:rFonts w:eastAsia="Arial Unicode MS"/>
                <w:b/>
                <w:bCs/>
                <w:sz w:val="18"/>
                <w:szCs w:val="18"/>
                <w:lang w:val="ro-MD"/>
              </w:rPr>
              <w:t>1</w:t>
            </w:r>
          </w:p>
        </w:tc>
        <w:tc>
          <w:tcPr>
            <w:tcW w:w="13370" w:type="dxa"/>
          </w:tcPr>
          <w:p w14:paraId="4CA071A5" w14:textId="79606CB9" w:rsidR="005C1753" w:rsidRPr="00A96E09" w:rsidRDefault="005C1753" w:rsidP="00100467">
            <w:pPr>
              <w:tabs>
                <w:tab w:val="left" w:pos="288"/>
              </w:tabs>
              <w:jc w:val="both"/>
              <w:rPr>
                <w:b/>
                <w:bCs/>
                <w:sz w:val="18"/>
                <w:szCs w:val="18"/>
                <w:lang w:val="ro-MD"/>
              </w:rPr>
            </w:pPr>
            <w:r w:rsidRPr="00A96E09">
              <w:rPr>
                <w:rFonts w:eastAsia="Arial Unicode MS"/>
                <w:b/>
                <w:bCs/>
                <w:sz w:val="18"/>
                <w:szCs w:val="18"/>
                <w:lang w:val="ro-MD"/>
              </w:rPr>
              <w:t>Titlul actului Uniunii Europene, inclusiv ce</w:t>
            </w:r>
            <w:r w:rsidR="005736A5" w:rsidRPr="00A96E09">
              <w:rPr>
                <w:rFonts w:eastAsia="Arial Unicode MS"/>
                <w:b/>
                <w:bCs/>
                <w:sz w:val="18"/>
                <w:szCs w:val="18"/>
                <w:lang w:val="ro-MD"/>
              </w:rPr>
              <w:t>a</w:t>
            </w:r>
            <w:r w:rsidRPr="00A96E09">
              <w:rPr>
                <w:rFonts w:eastAsia="Arial Unicode MS"/>
                <w:b/>
                <w:bCs/>
                <w:sz w:val="18"/>
                <w:szCs w:val="18"/>
                <w:lang w:val="ro-MD"/>
              </w:rPr>
              <w:t xml:space="preserve"> mai recent</w:t>
            </w:r>
            <w:r w:rsidR="005736A5" w:rsidRPr="00A96E09">
              <w:rPr>
                <w:rFonts w:eastAsia="Arial Unicode MS"/>
                <w:b/>
                <w:bCs/>
                <w:sz w:val="18"/>
                <w:szCs w:val="18"/>
                <w:lang w:val="ro-MD"/>
              </w:rPr>
              <w:t>ă modificare, nr.CELEX</w:t>
            </w:r>
          </w:p>
        </w:tc>
      </w:tr>
      <w:tr w:rsidR="005C1753" w:rsidRPr="00EB7E01" w14:paraId="22BB6EA7" w14:textId="77777777" w:rsidTr="00F53042">
        <w:trPr>
          <w:trHeight w:val="750"/>
        </w:trPr>
        <w:tc>
          <w:tcPr>
            <w:tcW w:w="1036" w:type="dxa"/>
            <w:vMerge/>
          </w:tcPr>
          <w:p w14:paraId="3FEFA6A8" w14:textId="77777777" w:rsidR="005C1753" w:rsidRPr="00A96E09" w:rsidRDefault="005C1753" w:rsidP="005736A5">
            <w:pPr>
              <w:tabs>
                <w:tab w:val="left" w:pos="360"/>
              </w:tabs>
              <w:spacing w:before="240" w:after="240"/>
              <w:jc w:val="center"/>
              <w:rPr>
                <w:rFonts w:eastAsia="Arial Unicode MS"/>
                <w:bCs/>
                <w:sz w:val="18"/>
                <w:szCs w:val="18"/>
                <w:lang w:val="ro-MD"/>
              </w:rPr>
            </w:pPr>
          </w:p>
        </w:tc>
        <w:tc>
          <w:tcPr>
            <w:tcW w:w="13370" w:type="dxa"/>
            <w:vAlign w:val="center"/>
          </w:tcPr>
          <w:p w14:paraId="5F28290B" w14:textId="7A1DE2CC" w:rsidR="005C1753" w:rsidRPr="00A96E09" w:rsidRDefault="00100467" w:rsidP="00100467">
            <w:pPr>
              <w:pStyle w:val="title-doc-first"/>
              <w:autoSpaceDE w:val="0"/>
              <w:autoSpaceDN w:val="0"/>
              <w:adjustRightInd w:val="0"/>
              <w:spacing w:before="0"/>
              <w:jc w:val="both"/>
              <w:rPr>
                <w:b w:val="0"/>
                <w:bCs w:val="0"/>
                <w:sz w:val="18"/>
                <w:szCs w:val="18"/>
                <w:lang w:val="ro-MD"/>
              </w:rPr>
            </w:pPr>
            <w:r w:rsidRPr="00A96E09">
              <w:rPr>
                <w:b w:val="0"/>
                <w:bCs w:val="0"/>
                <w:sz w:val="18"/>
                <w:szCs w:val="18"/>
              </w:rPr>
              <w:t xml:space="preserve">Regulamentul nr. 575/2013 al Parlamentului European și al Consiliului din 26 iunie 2013 privind cerințele prudențiale pentru instituțiile de credit și de modificare a Regulamentului (UE) nr. 648/2012, publicat în Jurnalul Oficial al Uniuni Europene L 176 din 27 iunie 2013, CELEX: 32013R0575, așa cum a fost modificat ultima dată prin Regulamentul (UE) </w:t>
            </w:r>
            <w:r w:rsidR="0014109B">
              <w:rPr>
                <w:b w:val="0"/>
                <w:bCs w:val="0"/>
                <w:sz w:val="18"/>
                <w:szCs w:val="18"/>
              </w:rPr>
              <w:t>2025/1215</w:t>
            </w:r>
            <w:r w:rsidRPr="00A96E09">
              <w:rPr>
                <w:b w:val="0"/>
                <w:bCs w:val="0"/>
                <w:sz w:val="18"/>
                <w:szCs w:val="18"/>
              </w:rPr>
              <w:t xml:space="preserve"> al Parlamentului European și al Consiliului din </w:t>
            </w:r>
            <w:r w:rsidR="0014109B">
              <w:rPr>
                <w:b w:val="0"/>
                <w:bCs w:val="0"/>
                <w:sz w:val="18"/>
                <w:szCs w:val="18"/>
              </w:rPr>
              <w:t>25 iunie</w:t>
            </w:r>
            <w:r w:rsidRPr="00A96E09">
              <w:rPr>
                <w:b w:val="0"/>
                <w:bCs w:val="0"/>
                <w:sz w:val="18"/>
                <w:szCs w:val="18"/>
              </w:rPr>
              <w:t xml:space="preserve"> 202</w:t>
            </w:r>
            <w:r w:rsidR="0014109B">
              <w:rPr>
                <w:b w:val="0"/>
                <w:bCs w:val="0"/>
                <w:sz w:val="18"/>
                <w:szCs w:val="18"/>
              </w:rPr>
              <w:t>5</w:t>
            </w:r>
          </w:p>
        </w:tc>
      </w:tr>
      <w:tr w:rsidR="005C1753" w:rsidRPr="00EB7E01" w14:paraId="4C1AE693" w14:textId="77777777" w:rsidTr="00F53042">
        <w:tc>
          <w:tcPr>
            <w:tcW w:w="1036" w:type="dxa"/>
            <w:vMerge w:val="restart"/>
          </w:tcPr>
          <w:p w14:paraId="17604346" w14:textId="425F04A1" w:rsidR="005C1753" w:rsidRPr="00A96E09" w:rsidRDefault="005736A5" w:rsidP="005736A5">
            <w:pPr>
              <w:pStyle w:val="ListParagraph"/>
              <w:tabs>
                <w:tab w:val="left" w:pos="736"/>
              </w:tabs>
              <w:jc w:val="center"/>
              <w:rPr>
                <w:b/>
                <w:bCs/>
                <w:sz w:val="18"/>
                <w:szCs w:val="18"/>
                <w:lang w:val="ro-MD"/>
              </w:rPr>
            </w:pPr>
            <w:r w:rsidRPr="00A96E09">
              <w:rPr>
                <w:b/>
                <w:bCs/>
                <w:sz w:val="18"/>
                <w:szCs w:val="18"/>
                <w:lang w:val="ro-MD"/>
              </w:rPr>
              <w:t>2</w:t>
            </w:r>
          </w:p>
        </w:tc>
        <w:tc>
          <w:tcPr>
            <w:tcW w:w="13370" w:type="dxa"/>
          </w:tcPr>
          <w:p w14:paraId="0B90C67A" w14:textId="4CFAD522" w:rsidR="005C1753" w:rsidRPr="00A96E09" w:rsidRDefault="005C1753" w:rsidP="00100467">
            <w:pPr>
              <w:pStyle w:val="ListParagraph"/>
              <w:tabs>
                <w:tab w:val="left" w:pos="284"/>
              </w:tabs>
              <w:ind w:left="0"/>
              <w:jc w:val="both"/>
              <w:rPr>
                <w:b/>
                <w:bCs/>
                <w:sz w:val="18"/>
                <w:szCs w:val="18"/>
                <w:lang w:val="ro-MD"/>
              </w:rPr>
            </w:pPr>
            <w:r w:rsidRPr="00A96E09">
              <w:rPr>
                <w:b/>
                <w:bCs/>
                <w:sz w:val="18"/>
                <w:szCs w:val="18"/>
                <w:lang w:val="ro-MD"/>
              </w:rPr>
              <w:t>Titlul proiectului de act normativ naţional</w:t>
            </w:r>
          </w:p>
        </w:tc>
      </w:tr>
      <w:tr w:rsidR="005C1753" w:rsidRPr="00EB7E01" w14:paraId="38DA1561" w14:textId="77777777" w:rsidTr="00F53042">
        <w:tc>
          <w:tcPr>
            <w:tcW w:w="1036" w:type="dxa"/>
            <w:vMerge/>
          </w:tcPr>
          <w:p w14:paraId="4D90D7E6" w14:textId="77777777" w:rsidR="005C1753" w:rsidRPr="00A96E09" w:rsidRDefault="005C1753" w:rsidP="005736A5">
            <w:pPr>
              <w:tabs>
                <w:tab w:val="left" w:pos="736"/>
              </w:tabs>
              <w:jc w:val="center"/>
              <w:rPr>
                <w:b/>
                <w:sz w:val="18"/>
                <w:szCs w:val="18"/>
                <w:u w:val="single"/>
                <w:lang w:val="ro-MD"/>
              </w:rPr>
            </w:pPr>
          </w:p>
        </w:tc>
        <w:tc>
          <w:tcPr>
            <w:tcW w:w="13370" w:type="dxa"/>
          </w:tcPr>
          <w:p w14:paraId="0EADB3DE" w14:textId="3942F493" w:rsidR="005C1753" w:rsidRPr="00A96E09" w:rsidRDefault="00F9432E" w:rsidP="00404F07">
            <w:pPr>
              <w:jc w:val="both"/>
              <w:rPr>
                <w:bCs/>
                <w:sz w:val="18"/>
                <w:szCs w:val="18"/>
                <w:lang w:val="ro-MD"/>
              </w:rPr>
            </w:pPr>
            <w:r w:rsidRPr="00F9432E">
              <w:rPr>
                <w:bCs/>
                <w:sz w:val="18"/>
                <w:szCs w:val="18"/>
                <w:lang w:val="ro-MD"/>
              </w:rPr>
              <w:t>Proiectul Hotărârii Comitetului executiv al Băncii Naționale a Moldovei „</w:t>
            </w:r>
            <w:r w:rsidRPr="00F9432E">
              <w:rPr>
                <w:bCs/>
                <w:sz w:val="18"/>
                <w:szCs w:val="18"/>
                <w:lang w:val="ro-RO"/>
              </w:rPr>
              <w:t xml:space="preserve">Pentru </w:t>
            </w:r>
            <w:r w:rsidRPr="00F9432E">
              <w:rPr>
                <w:bCs/>
                <w:sz w:val="18"/>
                <w:szCs w:val="18"/>
                <w:lang w:val="ro-MD"/>
              </w:rPr>
              <w:t>modificarea</w:t>
            </w:r>
            <w:r w:rsidRPr="00F9432E">
              <w:rPr>
                <w:bCs/>
                <w:sz w:val="18"/>
                <w:szCs w:val="18"/>
                <w:lang w:val="ro-RO"/>
              </w:rPr>
              <w:t xml:space="preserve"> unor acte normative ale </w:t>
            </w:r>
            <w:r w:rsidRPr="00F9432E">
              <w:rPr>
                <w:bCs/>
                <w:sz w:val="18"/>
                <w:szCs w:val="18"/>
                <w:lang w:val="ro-MD"/>
              </w:rPr>
              <w:t xml:space="preserve">Băncii Naționale a Moldovei” </w:t>
            </w:r>
            <w:r w:rsidRPr="00AF7168">
              <w:rPr>
                <w:bCs/>
                <w:sz w:val="18"/>
                <w:szCs w:val="18"/>
                <w:lang w:val="ro-RO"/>
              </w:rPr>
              <w:t>(modificarea Regulamentului cu privire la tratamentul</w:t>
            </w:r>
            <w:r w:rsidRPr="00F9432E">
              <w:rPr>
                <w:bCs/>
                <w:sz w:val="18"/>
                <w:szCs w:val="18"/>
                <w:lang w:val="ro-RO"/>
              </w:rPr>
              <w:t xml:space="preserve"> </w:t>
            </w:r>
            <w:r w:rsidRPr="00AF7168">
              <w:rPr>
                <w:bCs/>
                <w:sz w:val="18"/>
                <w:szCs w:val="18"/>
                <w:lang w:val="ro-RO"/>
              </w:rPr>
              <w:t xml:space="preserve">riscului </w:t>
            </w:r>
            <w:r w:rsidRPr="00F9432E">
              <w:rPr>
                <w:bCs/>
                <w:sz w:val="18"/>
                <w:szCs w:val="18"/>
                <w:lang w:val="ro-MD"/>
              </w:rPr>
              <w:t>de credit al contrapărţii</w:t>
            </w:r>
            <w:r w:rsidRPr="00F9432E">
              <w:rPr>
                <w:bCs/>
                <w:sz w:val="18"/>
                <w:szCs w:val="18"/>
                <w:lang w:val="ro-RO"/>
              </w:rPr>
              <w:t xml:space="preserve"> </w:t>
            </w:r>
            <w:r w:rsidRPr="00AF7168">
              <w:rPr>
                <w:bCs/>
                <w:sz w:val="18"/>
                <w:szCs w:val="18"/>
                <w:lang w:val="ro-RO"/>
              </w:rPr>
              <w:t xml:space="preserve">și </w:t>
            </w:r>
            <w:r w:rsidRPr="00F9432E">
              <w:rPr>
                <w:bCs/>
                <w:sz w:val="18"/>
                <w:szCs w:val="18"/>
                <w:lang w:val="ro-RO"/>
              </w:rPr>
              <w:t>Instrucțiun</w:t>
            </w:r>
            <w:r w:rsidR="004E75A4">
              <w:rPr>
                <w:bCs/>
                <w:sz w:val="18"/>
                <w:szCs w:val="18"/>
                <w:lang w:val="ro-RO"/>
              </w:rPr>
              <w:t>ii</w:t>
            </w:r>
            <w:r w:rsidRPr="00F9432E">
              <w:rPr>
                <w:bCs/>
                <w:sz w:val="18"/>
                <w:szCs w:val="18"/>
                <w:lang w:val="ro-RO"/>
              </w:rPr>
              <w:t xml:space="preserve"> cu privire la prezentarea de către bănci a rapoartelor COREP în scopuri de supraveghere</w:t>
            </w:r>
            <w:r w:rsidRPr="00F9432E">
              <w:rPr>
                <w:bCs/>
                <w:sz w:val="18"/>
                <w:szCs w:val="18"/>
                <w:lang w:val="ro-MD"/>
              </w:rPr>
              <w:t>)</w:t>
            </w:r>
          </w:p>
        </w:tc>
      </w:tr>
      <w:tr w:rsidR="005C1753" w:rsidRPr="00EB7E01" w14:paraId="52E95686" w14:textId="77777777" w:rsidTr="00F53042">
        <w:tc>
          <w:tcPr>
            <w:tcW w:w="1036" w:type="dxa"/>
          </w:tcPr>
          <w:p w14:paraId="42781153" w14:textId="33DBF68F" w:rsidR="005C1753" w:rsidRPr="00A96E09" w:rsidRDefault="005736A5" w:rsidP="005736A5">
            <w:pPr>
              <w:pStyle w:val="ListParagraph"/>
              <w:tabs>
                <w:tab w:val="left" w:pos="736"/>
              </w:tabs>
              <w:jc w:val="center"/>
              <w:rPr>
                <w:b/>
                <w:bCs/>
                <w:sz w:val="18"/>
                <w:szCs w:val="18"/>
                <w:lang w:val="ro-MD"/>
              </w:rPr>
            </w:pPr>
            <w:r w:rsidRPr="00A96E09">
              <w:rPr>
                <w:b/>
                <w:bCs/>
                <w:sz w:val="18"/>
                <w:szCs w:val="18"/>
                <w:lang w:val="ro-MD"/>
              </w:rPr>
              <w:t>3</w:t>
            </w:r>
          </w:p>
        </w:tc>
        <w:tc>
          <w:tcPr>
            <w:tcW w:w="13370" w:type="dxa"/>
          </w:tcPr>
          <w:p w14:paraId="2172F9E4" w14:textId="6D019F85" w:rsidR="005C1753" w:rsidRPr="00A96E09" w:rsidRDefault="005C1753" w:rsidP="00100467">
            <w:pPr>
              <w:jc w:val="both"/>
              <w:rPr>
                <w:sz w:val="18"/>
                <w:szCs w:val="18"/>
                <w:lang w:val="ro-MD"/>
              </w:rPr>
            </w:pPr>
            <w:r w:rsidRPr="00A96E09">
              <w:rPr>
                <w:b/>
                <w:bCs/>
                <w:sz w:val="18"/>
                <w:szCs w:val="18"/>
                <w:lang w:val="ro-MD"/>
              </w:rPr>
              <w:t xml:space="preserve">Gradul general de compatibilitate </w:t>
            </w:r>
            <w:r w:rsidR="005736A5" w:rsidRPr="00A96E09">
              <w:rPr>
                <w:b/>
                <w:bCs/>
                <w:sz w:val="18"/>
                <w:szCs w:val="18"/>
                <w:lang w:val="ro-MD"/>
              </w:rPr>
              <w:t xml:space="preserve">– </w:t>
            </w:r>
            <w:r w:rsidRPr="00A96E09">
              <w:rPr>
                <w:rFonts w:eastAsia="MS Mincho"/>
                <w:sz w:val="18"/>
                <w:szCs w:val="18"/>
                <w:lang w:val="ro-MD"/>
              </w:rPr>
              <w:t>parţial compatibil</w:t>
            </w:r>
          </w:p>
        </w:tc>
      </w:tr>
      <w:tr w:rsidR="005736A5" w:rsidRPr="00EB7E01" w14:paraId="2013D9CD" w14:textId="77777777" w:rsidTr="00F53042">
        <w:tc>
          <w:tcPr>
            <w:tcW w:w="1036" w:type="dxa"/>
          </w:tcPr>
          <w:p w14:paraId="085A466A" w14:textId="31787F35" w:rsidR="005736A5" w:rsidRPr="00A96E09" w:rsidRDefault="005736A5" w:rsidP="005736A5">
            <w:pPr>
              <w:pStyle w:val="ListParagraph"/>
              <w:tabs>
                <w:tab w:val="left" w:pos="736"/>
              </w:tabs>
              <w:jc w:val="center"/>
              <w:rPr>
                <w:b/>
                <w:bCs/>
                <w:sz w:val="18"/>
                <w:szCs w:val="18"/>
                <w:lang w:val="ro-MD"/>
              </w:rPr>
            </w:pPr>
            <w:r w:rsidRPr="00A96E09">
              <w:rPr>
                <w:b/>
                <w:bCs/>
                <w:sz w:val="18"/>
                <w:szCs w:val="18"/>
                <w:lang w:val="ro-MD"/>
              </w:rPr>
              <w:t>4</w:t>
            </w:r>
          </w:p>
        </w:tc>
        <w:tc>
          <w:tcPr>
            <w:tcW w:w="13370" w:type="dxa"/>
          </w:tcPr>
          <w:p w14:paraId="0A4BFC1F" w14:textId="3D4C9458" w:rsidR="005736A5" w:rsidRPr="00A96E09" w:rsidRDefault="005736A5" w:rsidP="00100467">
            <w:pPr>
              <w:jc w:val="both"/>
              <w:rPr>
                <w:b/>
                <w:bCs/>
                <w:sz w:val="18"/>
                <w:szCs w:val="18"/>
                <w:lang w:val="ro-MD"/>
              </w:rPr>
            </w:pPr>
            <w:r w:rsidRPr="00A96E09">
              <w:rPr>
                <w:b/>
                <w:bCs/>
                <w:sz w:val="18"/>
                <w:szCs w:val="18"/>
                <w:lang w:val="ro-MD"/>
              </w:rPr>
              <w:t xml:space="preserve">Autoritatea/persoana responsabilă </w:t>
            </w:r>
            <w:r w:rsidRPr="00A96E09">
              <w:rPr>
                <w:sz w:val="18"/>
                <w:szCs w:val="18"/>
                <w:lang w:val="ro-MD"/>
              </w:rPr>
              <w:t>– Banca Națională a Moldovei</w:t>
            </w:r>
          </w:p>
        </w:tc>
      </w:tr>
      <w:tr w:rsidR="005736A5" w:rsidRPr="00A96E09" w14:paraId="4B5F66BF" w14:textId="77777777" w:rsidTr="00F53042">
        <w:tc>
          <w:tcPr>
            <w:tcW w:w="1036" w:type="dxa"/>
          </w:tcPr>
          <w:p w14:paraId="419FF102" w14:textId="119E3441" w:rsidR="005736A5" w:rsidRPr="00A96E09" w:rsidRDefault="005736A5" w:rsidP="005736A5">
            <w:pPr>
              <w:pStyle w:val="ListParagraph"/>
              <w:tabs>
                <w:tab w:val="left" w:pos="736"/>
              </w:tabs>
              <w:jc w:val="center"/>
              <w:rPr>
                <w:b/>
                <w:bCs/>
                <w:sz w:val="18"/>
                <w:szCs w:val="18"/>
                <w:lang w:val="ro-MD"/>
              </w:rPr>
            </w:pPr>
            <w:r w:rsidRPr="00A96E09">
              <w:rPr>
                <w:b/>
                <w:bCs/>
                <w:sz w:val="18"/>
                <w:szCs w:val="18"/>
                <w:lang w:val="ro-MD"/>
              </w:rPr>
              <w:t>5</w:t>
            </w:r>
          </w:p>
        </w:tc>
        <w:tc>
          <w:tcPr>
            <w:tcW w:w="13370" w:type="dxa"/>
          </w:tcPr>
          <w:p w14:paraId="2FEDA854" w14:textId="0DD9BD77" w:rsidR="005736A5" w:rsidRPr="00A96E09" w:rsidRDefault="005736A5" w:rsidP="00100467">
            <w:pPr>
              <w:jc w:val="both"/>
              <w:rPr>
                <w:b/>
                <w:bCs/>
                <w:sz w:val="18"/>
                <w:szCs w:val="18"/>
                <w:lang w:val="ro-MD"/>
              </w:rPr>
            </w:pPr>
            <w:r w:rsidRPr="00A96E09">
              <w:rPr>
                <w:b/>
                <w:bCs/>
                <w:sz w:val="18"/>
                <w:szCs w:val="18"/>
                <w:lang w:val="ro-MD"/>
              </w:rPr>
              <w:t xml:space="preserve">Data întocmirii/actualizării </w:t>
            </w:r>
            <w:r w:rsidRPr="00A96E09">
              <w:rPr>
                <w:sz w:val="18"/>
                <w:szCs w:val="18"/>
                <w:lang w:val="ro-MD"/>
              </w:rPr>
              <w:t xml:space="preserve">– </w:t>
            </w:r>
            <w:r w:rsidR="0014109B">
              <w:rPr>
                <w:sz w:val="18"/>
                <w:szCs w:val="18"/>
                <w:lang w:val="ro-MD"/>
              </w:rPr>
              <w:t>01.12</w:t>
            </w:r>
            <w:r w:rsidRPr="00A96E09">
              <w:rPr>
                <w:sz w:val="18"/>
                <w:szCs w:val="18"/>
                <w:lang w:val="ro-MD"/>
              </w:rPr>
              <w:t>.202</w:t>
            </w:r>
            <w:r w:rsidR="0014109B">
              <w:rPr>
                <w:sz w:val="18"/>
                <w:szCs w:val="18"/>
                <w:lang w:val="ro-MD"/>
              </w:rPr>
              <w:t>5</w:t>
            </w:r>
          </w:p>
        </w:tc>
      </w:tr>
    </w:tbl>
    <w:p w14:paraId="0EBC9932" w14:textId="77777777" w:rsidR="005F3A73" w:rsidRPr="00A96E09" w:rsidRDefault="005F3A73" w:rsidP="005F3A73">
      <w:pPr>
        <w:jc w:val="both"/>
        <w:rPr>
          <w:vanish/>
          <w:sz w:val="18"/>
          <w:szCs w:val="18"/>
          <w:lang w:val="ro-MD"/>
        </w:rPr>
      </w:pPr>
    </w:p>
    <w:p w14:paraId="744DD180" w14:textId="77777777" w:rsidR="005F3A73" w:rsidRPr="00A96E09" w:rsidRDefault="005F3A73" w:rsidP="005F3A73">
      <w:pPr>
        <w:jc w:val="both"/>
        <w:rPr>
          <w:vanish/>
          <w:sz w:val="18"/>
          <w:szCs w:val="18"/>
          <w:lang w:val="ro-MD"/>
        </w:rPr>
      </w:pPr>
    </w:p>
    <w:tbl>
      <w:tblPr>
        <w:tblpPr w:leftFromText="180" w:rightFromText="180" w:vertAnchor="text" w:tblpY="1"/>
        <w:tblOverlap w:val="neve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6"/>
        <w:gridCol w:w="4356"/>
        <w:gridCol w:w="1554"/>
        <w:gridCol w:w="4683"/>
      </w:tblGrid>
      <w:tr w:rsidR="001A4DE8" w:rsidRPr="00A96E09" w14:paraId="0194AA20" w14:textId="77777777" w:rsidTr="00C14AF6">
        <w:trPr>
          <w:trHeight w:val="723"/>
          <w:tblHeader/>
        </w:trPr>
        <w:tc>
          <w:tcPr>
            <w:tcW w:w="3866" w:type="dxa"/>
          </w:tcPr>
          <w:p w14:paraId="264A8A14" w14:textId="66DB991C" w:rsidR="001A4DE8" w:rsidRPr="00A96E09" w:rsidRDefault="001A4DE8" w:rsidP="00C14AF6">
            <w:pPr>
              <w:jc w:val="both"/>
              <w:rPr>
                <w:b/>
                <w:bCs/>
                <w:sz w:val="18"/>
                <w:szCs w:val="18"/>
                <w:lang w:val="ro-MD"/>
              </w:rPr>
            </w:pPr>
            <w:r w:rsidRPr="00A96E09">
              <w:rPr>
                <w:b/>
                <w:bCs/>
                <w:sz w:val="18"/>
                <w:szCs w:val="18"/>
                <w:lang w:val="ro-MD"/>
              </w:rPr>
              <w:t>Actul Uniunii Europene</w:t>
            </w:r>
          </w:p>
        </w:tc>
        <w:tc>
          <w:tcPr>
            <w:tcW w:w="4356" w:type="dxa"/>
          </w:tcPr>
          <w:p w14:paraId="35F32FCF" w14:textId="3FA3AFDC" w:rsidR="001A4DE8" w:rsidRPr="008070DB" w:rsidRDefault="001A4DE8" w:rsidP="00C14AF6">
            <w:pPr>
              <w:jc w:val="both"/>
              <w:rPr>
                <w:bCs/>
                <w:sz w:val="18"/>
                <w:szCs w:val="18"/>
                <w:lang w:val="ro-MD"/>
              </w:rPr>
            </w:pPr>
            <w:r w:rsidRPr="008070DB">
              <w:rPr>
                <w:b/>
                <w:bCs/>
                <w:sz w:val="18"/>
                <w:szCs w:val="18"/>
                <w:lang w:val="ro-MD"/>
              </w:rPr>
              <w:t>Proiectul de act normativ naţional</w:t>
            </w:r>
          </w:p>
        </w:tc>
        <w:tc>
          <w:tcPr>
            <w:tcW w:w="1554" w:type="dxa"/>
          </w:tcPr>
          <w:p w14:paraId="4D7DEA05" w14:textId="628B8B29" w:rsidR="001A4DE8" w:rsidRPr="00A96E09" w:rsidRDefault="001A4DE8" w:rsidP="00C14AF6">
            <w:pPr>
              <w:ind w:left="-84" w:right="-112"/>
              <w:rPr>
                <w:b/>
                <w:bCs/>
                <w:sz w:val="18"/>
                <w:szCs w:val="18"/>
                <w:lang w:val="ro-MD"/>
              </w:rPr>
            </w:pPr>
            <w:r w:rsidRPr="00A96E09">
              <w:rPr>
                <w:b/>
                <w:bCs/>
                <w:sz w:val="18"/>
                <w:szCs w:val="18"/>
                <w:lang w:val="ro-MD"/>
              </w:rPr>
              <w:t>Gradul de compatibilitate</w:t>
            </w:r>
          </w:p>
        </w:tc>
        <w:tc>
          <w:tcPr>
            <w:tcW w:w="4683" w:type="dxa"/>
          </w:tcPr>
          <w:p w14:paraId="5970B66C" w14:textId="5D20B4B2" w:rsidR="001A4DE8" w:rsidRPr="00A96E09" w:rsidRDefault="001A4DE8" w:rsidP="00C14AF6">
            <w:pPr>
              <w:jc w:val="both"/>
              <w:rPr>
                <w:b/>
                <w:bCs/>
                <w:sz w:val="18"/>
                <w:szCs w:val="18"/>
                <w:lang w:val="ro-MD"/>
              </w:rPr>
            </w:pPr>
            <w:r w:rsidRPr="00A96E09">
              <w:rPr>
                <w:b/>
                <w:bCs/>
                <w:sz w:val="18"/>
                <w:szCs w:val="18"/>
                <w:lang w:val="ro-MD"/>
              </w:rPr>
              <w:t>Observaţiile</w:t>
            </w:r>
          </w:p>
        </w:tc>
      </w:tr>
      <w:tr w:rsidR="001A4DE8" w:rsidRPr="00A96E09" w14:paraId="51A90453" w14:textId="77777777" w:rsidTr="00C14AF6">
        <w:trPr>
          <w:tblHeader/>
        </w:trPr>
        <w:tc>
          <w:tcPr>
            <w:tcW w:w="3866" w:type="dxa"/>
          </w:tcPr>
          <w:p w14:paraId="5DE61B1A" w14:textId="4655981F" w:rsidR="001A4DE8" w:rsidRPr="00A96E09" w:rsidRDefault="001A4DE8" w:rsidP="003456B0">
            <w:pPr>
              <w:pStyle w:val="BodyTextIndent"/>
              <w:spacing w:before="0"/>
              <w:ind w:firstLine="0"/>
              <w:rPr>
                <w:rFonts w:eastAsia="MS Mincho"/>
                <w:b/>
                <w:sz w:val="18"/>
                <w:szCs w:val="18"/>
                <w:lang w:val="ro-MD"/>
              </w:rPr>
            </w:pPr>
            <w:r w:rsidRPr="00A96E09">
              <w:rPr>
                <w:rFonts w:eastAsia="MS Mincho"/>
                <w:b/>
                <w:sz w:val="18"/>
                <w:szCs w:val="18"/>
                <w:lang w:val="ro-MD"/>
              </w:rPr>
              <w:t>6</w:t>
            </w:r>
          </w:p>
        </w:tc>
        <w:tc>
          <w:tcPr>
            <w:tcW w:w="4356" w:type="dxa"/>
          </w:tcPr>
          <w:p w14:paraId="2DA2B260" w14:textId="6E83FECC" w:rsidR="001A4DE8" w:rsidRPr="008070DB" w:rsidRDefault="001A4DE8" w:rsidP="003456B0">
            <w:pPr>
              <w:pStyle w:val="PlainText"/>
              <w:jc w:val="both"/>
              <w:rPr>
                <w:rFonts w:ascii="Times New Roman" w:eastAsia="MS Mincho" w:hAnsi="Times New Roman" w:cs="Times New Roman"/>
                <w:b/>
                <w:sz w:val="18"/>
                <w:szCs w:val="18"/>
                <w:lang w:val="ro-MD"/>
              </w:rPr>
            </w:pPr>
            <w:r w:rsidRPr="008070DB">
              <w:rPr>
                <w:rFonts w:ascii="Times New Roman" w:eastAsia="MS Mincho" w:hAnsi="Times New Roman" w:cs="Times New Roman"/>
                <w:b/>
                <w:sz w:val="18"/>
                <w:szCs w:val="18"/>
                <w:lang w:val="ro-MD"/>
              </w:rPr>
              <w:t>7</w:t>
            </w:r>
          </w:p>
        </w:tc>
        <w:tc>
          <w:tcPr>
            <w:tcW w:w="1554" w:type="dxa"/>
          </w:tcPr>
          <w:p w14:paraId="55A1C645" w14:textId="2ABE9273" w:rsidR="001A4DE8" w:rsidRPr="00A96E09" w:rsidRDefault="001A4DE8" w:rsidP="00C14AF6">
            <w:pPr>
              <w:jc w:val="both"/>
              <w:rPr>
                <w:b/>
                <w:sz w:val="18"/>
                <w:szCs w:val="18"/>
                <w:lang w:val="ro-MD"/>
              </w:rPr>
            </w:pPr>
            <w:r w:rsidRPr="00A96E09">
              <w:rPr>
                <w:b/>
                <w:sz w:val="18"/>
                <w:szCs w:val="18"/>
                <w:lang w:val="ro-MD"/>
              </w:rPr>
              <w:t>8</w:t>
            </w:r>
          </w:p>
        </w:tc>
        <w:tc>
          <w:tcPr>
            <w:tcW w:w="4683" w:type="dxa"/>
            <w:tcBorders>
              <w:bottom w:val="single" w:sz="4" w:space="0" w:color="auto"/>
            </w:tcBorders>
          </w:tcPr>
          <w:p w14:paraId="49B7B2E6" w14:textId="1AAC2CCF" w:rsidR="001A4DE8" w:rsidRPr="00A96E09" w:rsidRDefault="001A4DE8" w:rsidP="00C14AF6">
            <w:pPr>
              <w:jc w:val="both"/>
              <w:rPr>
                <w:b/>
                <w:sz w:val="18"/>
                <w:szCs w:val="18"/>
                <w:lang w:val="ro-MD"/>
              </w:rPr>
            </w:pPr>
            <w:r w:rsidRPr="00A96E09">
              <w:rPr>
                <w:b/>
                <w:sz w:val="18"/>
                <w:szCs w:val="18"/>
                <w:lang w:val="ro-MD"/>
              </w:rPr>
              <w:t>9</w:t>
            </w:r>
          </w:p>
        </w:tc>
      </w:tr>
      <w:tr w:rsidR="001A4DE8" w:rsidRPr="00EB7E01" w14:paraId="47CE0C8A" w14:textId="77777777" w:rsidTr="00C14AF6">
        <w:tc>
          <w:tcPr>
            <w:tcW w:w="3866" w:type="dxa"/>
            <w:vAlign w:val="center"/>
          </w:tcPr>
          <w:p w14:paraId="17113D3D" w14:textId="08ECBA27" w:rsidR="001A4DE8" w:rsidRPr="00A96E09" w:rsidRDefault="001A4DE8" w:rsidP="003456B0">
            <w:pPr>
              <w:jc w:val="both"/>
              <w:rPr>
                <w:b/>
                <w:sz w:val="18"/>
                <w:szCs w:val="18"/>
                <w:lang w:val="ro-MD"/>
              </w:rPr>
            </w:pPr>
            <w:r w:rsidRPr="00A96E09">
              <w:rPr>
                <w:b/>
                <w:bCs/>
                <w:sz w:val="18"/>
                <w:szCs w:val="18"/>
                <w:lang w:val="en-US"/>
              </w:rPr>
              <w:t>Regulamentul nr. 575/2013 al Parlamentului European și al Consiliului din 26 iunie 2013 privind cerințele prudențiale pentru instituțiile de credit și de modificare a Regulamentului (UE) nr. 648/2012, publicat în Jurnalul Oficial al Uniuni Europene L 176 din 27 iunie 2013, CELEX: 32013R0575, așa cum a fost modificat ultima dată prin Regulamentul (UE) 20</w:t>
            </w:r>
            <w:r w:rsidR="0066015C">
              <w:rPr>
                <w:b/>
                <w:bCs/>
                <w:sz w:val="18"/>
                <w:szCs w:val="18"/>
                <w:lang w:val="en-US"/>
              </w:rPr>
              <w:t>25</w:t>
            </w:r>
            <w:r w:rsidRPr="00A96E09">
              <w:rPr>
                <w:b/>
                <w:bCs/>
                <w:sz w:val="18"/>
                <w:szCs w:val="18"/>
                <w:lang w:val="en-US"/>
              </w:rPr>
              <w:t>/</w:t>
            </w:r>
            <w:r w:rsidR="0066015C">
              <w:rPr>
                <w:b/>
                <w:bCs/>
                <w:sz w:val="18"/>
                <w:szCs w:val="18"/>
                <w:lang w:val="en-US"/>
              </w:rPr>
              <w:t>1215</w:t>
            </w:r>
            <w:r w:rsidRPr="00A96E09">
              <w:rPr>
                <w:b/>
                <w:bCs/>
                <w:sz w:val="18"/>
                <w:szCs w:val="18"/>
                <w:lang w:val="en-US"/>
              </w:rPr>
              <w:t xml:space="preserve"> al Parlamentului European și al Consiliului din </w:t>
            </w:r>
            <w:r w:rsidR="0066015C">
              <w:rPr>
                <w:b/>
                <w:bCs/>
                <w:sz w:val="18"/>
                <w:szCs w:val="18"/>
                <w:lang w:val="en-US"/>
              </w:rPr>
              <w:t>25 iunie 2025</w:t>
            </w:r>
          </w:p>
        </w:tc>
        <w:tc>
          <w:tcPr>
            <w:tcW w:w="4356" w:type="dxa"/>
          </w:tcPr>
          <w:p w14:paraId="2A80CA2E" w14:textId="03C36598" w:rsidR="001A4DE8" w:rsidRPr="008070DB" w:rsidRDefault="00F9432E" w:rsidP="003456B0">
            <w:pPr>
              <w:jc w:val="both"/>
              <w:rPr>
                <w:b/>
                <w:bCs/>
                <w:sz w:val="18"/>
                <w:szCs w:val="18"/>
                <w:lang w:val="ro-MD"/>
              </w:rPr>
            </w:pPr>
            <w:r w:rsidRPr="00F9432E">
              <w:rPr>
                <w:b/>
                <w:bCs/>
                <w:sz w:val="18"/>
                <w:szCs w:val="18"/>
                <w:lang w:val="ro-MD"/>
              </w:rPr>
              <w:t>Proiectul Hotărârii Comitetului executiv al Băncii Naționale a Moldovei „</w:t>
            </w:r>
            <w:r w:rsidRPr="00F9432E">
              <w:rPr>
                <w:b/>
                <w:bCs/>
                <w:sz w:val="18"/>
                <w:szCs w:val="18"/>
                <w:lang w:val="ro-RO"/>
              </w:rPr>
              <w:t xml:space="preserve">Pentru </w:t>
            </w:r>
            <w:r w:rsidRPr="00F9432E">
              <w:rPr>
                <w:b/>
                <w:bCs/>
                <w:sz w:val="18"/>
                <w:szCs w:val="18"/>
                <w:lang w:val="ro-MD"/>
              </w:rPr>
              <w:t>modificarea</w:t>
            </w:r>
            <w:r w:rsidRPr="00F9432E">
              <w:rPr>
                <w:b/>
                <w:bCs/>
                <w:sz w:val="18"/>
                <w:szCs w:val="18"/>
                <w:lang w:val="ro-RO"/>
              </w:rPr>
              <w:t xml:space="preserve"> unor acte normative ale </w:t>
            </w:r>
            <w:r w:rsidRPr="00F9432E">
              <w:rPr>
                <w:b/>
                <w:bCs/>
                <w:sz w:val="18"/>
                <w:szCs w:val="18"/>
                <w:lang w:val="ro-MD"/>
              </w:rPr>
              <w:t xml:space="preserve">Băncii Naționale a Moldovei” </w:t>
            </w:r>
            <w:r w:rsidRPr="00AF7168">
              <w:rPr>
                <w:b/>
                <w:bCs/>
                <w:sz w:val="18"/>
                <w:szCs w:val="18"/>
                <w:lang w:val="ro-RO"/>
              </w:rPr>
              <w:t>(modificarea Regulamentului cu privire la tratamentul</w:t>
            </w:r>
            <w:r w:rsidRPr="00F9432E">
              <w:rPr>
                <w:b/>
                <w:bCs/>
                <w:sz w:val="18"/>
                <w:szCs w:val="18"/>
                <w:lang w:val="ro-RO"/>
              </w:rPr>
              <w:t xml:space="preserve"> </w:t>
            </w:r>
            <w:r w:rsidRPr="00AF7168">
              <w:rPr>
                <w:b/>
                <w:bCs/>
                <w:sz w:val="18"/>
                <w:szCs w:val="18"/>
                <w:lang w:val="ro-RO"/>
              </w:rPr>
              <w:t xml:space="preserve">riscului </w:t>
            </w:r>
            <w:r w:rsidRPr="00F9432E">
              <w:rPr>
                <w:b/>
                <w:bCs/>
                <w:sz w:val="18"/>
                <w:szCs w:val="18"/>
                <w:lang w:val="ro-MD"/>
              </w:rPr>
              <w:t>de credit al contrapărţii</w:t>
            </w:r>
            <w:r w:rsidRPr="00F9432E">
              <w:rPr>
                <w:b/>
                <w:bCs/>
                <w:sz w:val="18"/>
                <w:szCs w:val="18"/>
                <w:lang w:val="ro-RO"/>
              </w:rPr>
              <w:t xml:space="preserve"> </w:t>
            </w:r>
            <w:r w:rsidRPr="00AF7168">
              <w:rPr>
                <w:b/>
                <w:bCs/>
                <w:sz w:val="18"/>
                <w:szCs w:val="18"/>
                <w:lang w:val="ro-RO"/>
              </w:rPr>
              <w:t xml:space="preserve">și </w:t>
            </w:r>
            <w:r w:rsidRPr="00F9432E">
              <w:rPr>
                <w:b/>
                <w:bCs/>
                <w:sz w:val="18"/>
                <w:szCs w:val="18"/>
                <w:lang w:val="ro-RO"/>
              </w:rPr>
              <w:t>Instrucțiun</w:t>
            </w:r>
            <w:r w:rsidR="00CE41D4">
              <w:rPr>
                <w:b/>
                <w:bCs/>
                <w:sz w:val="18"/>
                <w:szCs w:val="18"/>
                <w:lang w:val="ro-RO"/>
              </w:rPr>
              <w:t>ii</w:t>
            </w:r>
            <w:r w:rsidRPr="00F9432E">
              <w:rPr>
                <w:b/>
                <w:bCs/>
                <w:sz w:val="18"/>
                <w:szCs w:val="18"/>
                <w:lang w:val="ro-RO"/>
              </w:rPr>
              <w:t xml:space="preserve"> cu privire la prezentarea de către bănci a rapoartelor COREP în scopuri de supraveghere</w:t>
            </w:r>
            <w:r w:rsidRPr="00F9432E">
              <w:rPr>
                <w:b/>
                <w:bCs/>
                <w:sz w:val="18"/>
                <w:szCs w:val="18"/>
                <w:lang w:val="ro-MD"/>
              </w:rPr>
              <w:t>)</w:t>
            </w:r>
          </w:p>
        </w:tc>
        <w:tc>
          <w:tcPr>
            <w:tcW w:w="1554" w:type="dxa"/>
          </w:tcPr>
          <w:p w14:paraId="29D9153D" w14:textId="77777777" w:rsidR="001A4DE8" w:rsidRPr="00A96E09" w:rsidRDefault="001A4DE8" w:rsidP="00C14AF6">
            <w:pPr>
              <w:jc w:val="both"/>
              <w:rPr>
                <w:b/>
                <w:strike/>
                <w:sz w:val="18"/>
                <w:szCs w:val="18"/>
                <w:lang w:val="ro-MD"/>
              </w:rPr>
            </w:pPr>
          </w:p>
        </w:tc>
        <w:tc>
          <w:tcPr>
            <w:tcW w:w="4683" w:type="dxa"/>
            <w:tcBorders>
              <w:top w:val="single" w:sz="4" w:space="0" w:color="auto"/>
              <w:bottom w:val="single" w:sz="4" w:space="0" w:color="auto"/>
            </w:tcBorders>
          </w:tcPr>
          <w:p w14:paraId="470CB7BC" w14:textId="77777777" w:rsidR="001A4DE8" w:rsidRPr="00A96E09" w:rsidRDefault="001A4DE8" w:rsidP="00C14AF6">
            <w:pPr>
              <w:jc w:val="both"/>
              <w:rPr>
                <w:strike/>
                <w:sz w:val="18"/>
                <w:szCs w:val="18"/>
                <w:lang w:val="ro-MD"/>
              </w:rPr>
            </w:pPr>
          </w:p>
        </w:tc>
      </w:tr>
      <w:tr w:rsidR="001A4DE8" w:rsidRPr="00EB7E01" w14:paraId="61B5325F" w14:textId="77777777" w:rsidTr="00C14AF6">
        <w:trPr>
          <w:trHeight w:val="918"/>
        </w:trPr>
        <w:tc>
          <w:tcPr>
            <w:tcW w:w="3866" w:type="dxa"/>
          </w:tcPr>
          <w:p w14:paraId="09E99B9D" w14:textId="77777777" w:rsidR="001A4DE8" w:rsidRPr="00A96E09" w:rsidRDefault="001A4DE8" w:rsidP="003456B0">
            <w:pPr>
              <w:pStyle w:val="CM4"/>
              <w:spacing w:after="120"/>
              <w:jc w:val="both"/>
              <w:rPr>
                <w:rFonts w:ascii="Times New Roman" w:hAnsi="Times New Roman"/>
                <w:b/>
                <w:sz w:val="18"/>
                <w:szCs w:val="18"/>
                <w:lang w:val="ro-MD"/>
              </w:rPr>
            </w:pPr>
            <w:r w:rsidRPr="00A96E09">
              <w:rPr>
                <w:rFonts w:ascii="Times New Roman" w:hAnsi="Times New Roman"/>
                <w:b/>
                <w:sz w:val="18"/>
                <w:szCs w:val="18"/>
                <w:lang w:val="ro-MD"/>
              </w:rPr>
              <w:t xml:space="preserve">34. </w:t>
            </w:r>
            <w:r w:rsidRPr="00A96E09">
              <w:rPr>
                <w:rFonts w:ascii="Times New Roman" w:hAnsi="Times New Roman"/>
                <w:sz w:val="18"/>
                <w:szCs w:val="18"/>
                <w:lang w:val="ro-MD"/>
              </w:rPr>
              <w:t>„contraparte centrală”</w:t>
            </w:r>
            <w:r w:rsidRPr="00A96E09">
              <w:rPr>
                <w:rFonts w:ascii="Times New Roman" w:hAnsi="Times New Roman"/>
                <w:b/>
                <w:sz w:val="18"/>
                <w:szCs w:val="18"/>
                <w:lang w:val="ro-MD"/>
              </w:rPr>
              <w:t xml:space="preserve"> </w:t>
            </w:r>
            <w:r w:rsidRPr="00A96E09">
              <w:rPr>
                <w:rFonts w:ascii="Times New Roman" w:hAnsi="Times New Roman"/>
                <w:sz w:val="18"/>
                <w:szCs w:val="18"/>
                <w:lang w:val="ro-MD"/>
              </w:rPr>
              <w:t>sau</w:t>
            </w:r>
            <w:r w:rsidRPr="00A96E09">
              <w:rPr>
                <w:rFonts w:ascii="Times New Roman" w:hAnsi="Times New Roman"/>
                <w:b/>
                <w:sz w:val="18"/>
                <w:szCs w:val="18"/>
                <w:lang w:val="ro-MD"/>
              </w:rPr>
              <w:t xml:space="preserve"> </w:t>
            </w:r>
            <w:r w:rsidRPr="00A96E09">
              <w:rPr>
                <w:rFonts w:ascii="Times New Roman" w:hAnsi="Times New Roman"/>
                <w:sz w:val="18"/>
                <w:szCs w:val="18"/>
                <w:lang w:val="ro-MD"/>
              </w:rPr>
              <w:t>„CPC”</w:t>
            </w:r>
            <w:r w:rsidRPr="00A96E09">
              <w:rPr>
                <w:rFonts w:ascii="Times New Roman" w:hAnsi="Times New Roman"/>
                <w:b/>
                <w:sz w:val="18"/>
                <w:szCs w:val="18"/>
                <w:lang w:val="ro-MD"/>
              </w:rPr>
              <w:t xml:space="preserve"> </w:t>
            </w:r>
            <w:r w:rsidRPr="00A96E09">
              <w:rPr>
                <w:rFonts w:ascii="Times New Roman" w:hAnsi="Times New Roman"/>
                <w:sz w:val="18"/>
                <w:szCs w:val="18"/>
                <w:lang w:val="ro-MD"/>
              </w:rPr>
              <w:t>înseamnă o CPC astfel cum este definită la articolul 2 punctul 1 din Regulamentul (UE) nr. 648/2012;</w:t>
            </w:r>
          </w:p>
        </w:tc>
        <w:tc>
          <w:tcPr>
            <w:tcW w:w="4356" w:type="dxa"/>
          </w:tcPr>
          <w:p w14:paraId="614E3AC3" w14:textId="5DD88BE1" w:rsidR="001A4DE8" w:rsidRPr="008070DB" w:rsidRDefault="001A4DE8" w:rsidP="003456B0">
            <w:pPr>
              <w:tabs>
                <w:tab w:val="left" w:pos="540"/>
              </w:tabs>
              <w:ind w:left="-43"/>
              <w:jc w:val="both"/>
              <w:rPr>
                <w:i/>
                <w:iCs/>
                <w:sz w:val="18"/>
                <w:szCs w:val="18"/>
                <w:lang w:val="ro-MD"/>
              </w:rPr>
            </w:pPr>
            <w:r w:rsidRPr="008070DB">
              <w:rPr>
                <w:color w:val="000000"/>
                <w:sz w:val="18"/>
                <w:szCs w:val="18"/>
                <w:lang w:val="ro-MD"/>
              </w:rPr>
              <w:t>În sensul prezentului regulament se utilizează următoarele noţiuni:</w:t>
            </w:r>
          </w:p>
          <w:p w14:paraId="058DDA79" w14:textId="77777777" w:rsidR="001A4DE8" w:rsidRPr="008070DB" w:rsidRDefault="001A4DE8" w:rsidP="003456B0">
            <w:pPr>
              <w:tabs>
                <w:tab w:val="left" w:pos="540"/>
              </w:tabs>
              <w:ind w:left="-43"/>
              <w:jc w:val="both"/>
              <w:rPr>
                <w:i/>
                <w:iCs/>
                <w:sz w:val="18"/>
                <w:szCs w:val="18"/>
                <w:lang w:val="ro-RO"/>
              </w:rPr>
            </w:pPr>
            <w:r w:rsidRPr="008070DB">
              <w:rPr>
                <w:i/>
                <w:iCs/>
                <w:sz w:val="18"/>
                <w:szCs w:val="18"/>
                <w:lang w:val="ro-RO"/>
              </w:rPr>
              <w:t xml:space="preserve">contraparte centrală (CPC) </w:t>
            </w:r>
            <w:r w:rsidRPr="008070DB">
              <w:rPr>
                <w:sz w:val="18"/>
                <w:szCs w:val="18"/>
                <w:lang w:val="ro-RO"/>
              </w:rPr>
              <w:t>- o persoană juridică care se interpune între contrapărţile la contractele tranzacţionate pe una sau mai multe pieţe financiare, devenind astfel cumpărător pentru fiecare vânzător şi vânzător pentru fiecare cumpărător;</w:t>
            </w:r>
          </w:p>
          <w:p w14:paraId="2935CC65" w14:textId="77777777" w:rsidR="001A4DE8" w:rsidRPr="008070DB" w:rsidRDefault="001A4DE8" w:rsidP="003456B0">
            <w:pPr>
              <w:jc w:val="both"/>
              <w:rPr>
                <w:b/>
                <w:i/>
                <w:sz w:val="18"/>
                <w:szCs w:val="18"/>
                <w:lang w:val="ro-RO"/>
              </w:rPr>
            </w:pPr>
          </w:p>
        </w:tc>
        <w:tc>
          <w:tcPr>
            <w:tcW w:w="1554" w:type="dxa"/>
          </w:tcPr>
          <w:p w14:paraId="0FEF19E2" w14:textId="77777777" w:rsidR="001A4DE8" w:rsidRPr="00A96E09" w:rsidRDefault="001A4DE8" w:rsidP="00C14AF6">
            <w:pPr>
              <w:jc w:val="both"/>
              <w:rPr>
                <w:sz w:val="18"/>
                <w:szCs w:val="18"/>
                <w:lang w:val="ro-MD"/>
              </w:rPr>
            </w:pPr>
            <w:r w:rsidRPr="00A96E09">
              <w:rPr>
                <w:sz w:val="18"/>
                <w:szCs w:val="18"/>
                <w:lang w:val="ro-MD"/>
              </w:rPr>
              <w:t xml:space="preserve">Compatibil </w:t>
            </w:r>
          </w:p>
        </w:tc>
        <w:tc>
          <w:tcPr>
            <w:tcW w:w="4683" w:type="dxa"/>
            <w:tcBorders>
              <w:top w:val="single" w:sz="4" w:space="0" w:color="auto"/>
              <w:bottom w:val="single" w:sz="4" w:space="0" w:color="auto"/>
            </w:tcBorders>
          </w:tcPr>
          <w:p w14:paraId="1416A9B1" w14:textId="0F4D603B" w:rsidR="001A4DE8" w:rsidRPr="00A96E09" w:rsidRDefault="001A4DE8" w:rsidP="00C14AF6">
            <w:pPr>
              <w:rPr>
                <w:sz w:val="18"/>
                <w:szCs w:val="18"/>
                <w:lang w:val="ro-MD"/>
              </w:rPr>
            </w:pPr>
            <w:r w:rsidRPr="00A96E09">
              <w:rPr>
                <w:sz w:val="18"/>
                <w:szCs w:val="18"/>
                <w:lang w:val="ro-MD"/>
              </w:rPr>
              <w:t>Definiția a fost transpusă conform articolul 2 punctul 1 din Regulamentul (UE) nr. 648/2012.</w:t>
            </w:r>
          </w:p>
        </w:tc>
      </w:tr>
      <w:tr w:rsidR="0037189C" w:rsidRPr="00A96E09" w14:paraId="0510AD00" w14:textId="77777777" w:rsidTr="00C14AF6">
        <w:trPr>
          <w:trHeight w:val="918"/>
        </w:trPr>
        <w:tc>
          <w:tcPr>
            <w:tcW w:w="3866" w:type="dxa"/>
          </w:tcPr>
          <w:p w14:paraId="00BFF0B1" w14:textId="4184B4DE" w:rsidR="0037189C" w:rsidRPr="00A96E09" w:rsidRDefault="0037189C" w:rsidP="003456B0">
            <w:pPr>
              <w:pStyle w:val="CM4"/>
              <w:spacing w:after="120"/>
              <w:jc w:val="both"/>
              <w:rPr>
                <w:rFonts w:ascii="Times New Roman" w:hAnsi="Times New Roman"/>
                <w:b/>
                <w:sz w:val="18"/>
                <w:szCs w:val="18"/>
                <w:lang w:val="ro-MD"/>
              </w:rPr>
            </w:pPr>
            <w:r w:rsidRPr="00A96E09">
              <w:rPr>
                <w:rFonts w:ascii="Times New Roman" w:hAnsi="Times New Roman"/>
                <w:b/>
                <w:sz w:val="18"/>
                <w:szCs w:val="18"/>
              </w:rPr>
              <w:t xml:space="preserve">88. </w:t>
            </w:r>
            <w:r w:rsidRPr="00A96E09">
              <w:rPr>
                <w:rFonts w:ascii="Times New Roman" w:hAnsi="Times New Roman"/>
                <w:bCs/>
                <w:sz w:val="18"/>
                <w:szCs w:val="18"/>
              </w:rPr>
              <w:t xml:space="preserve">„contraparte centrală calificată” sau „CPCC” înseamnă o contraparte centrală care fie a fost autorizată în conformitate cu articolul 14 din Regulamentul (UE) nr. 648/2012, fie a fost </w:t>
            </w:r>
            <w:r w:rsidRPr="00A96E09">
              <w:rPr>
                <w:rFonts w:ascii="Times New Roman" w:hAnsi="Times New Roman"/>
                <w:bCs/>
                <w:sz w:val="18"/>
                <w:szCs w:val="18"/>
              </w:rPr>
              <w:lastRenderedPageBreak/>
              <w:t>recunoscută în conformitate cu articolul 25 din regulamentul respectiv;</w:t>
            </w:r>
          </w:p>
        </w:tc>
        <w:tc>
          <w:tcPr>
            <w:tcW w:w="4356" w:type="dxa"/>
          </w:tcPr>
          <w:p w14:paraId="0F6FC401" w14:textId="77777777" w:rsidR="0037189C" w:rsidRPr="008070DB" w:rsidRDefault="0037189C" w:rsidP="003456B0">
            <w:pPr>
              <w:tabs>
                <w:tab w:val="left" w:pos="540"/>
              </w:tabs>
              <w:ind w:left="-43"/>
              <w:jc w:val="both"/>
              <w:rPr>
                <w:color w:val="000000"/>
                <w:sz w:val="18"/>
                <w:szCs w:val="18"/>
                <w:lang w:val="ro-RO"/>
              </w:rPr>
            </w:pPr>
            <w:r w:rsidRPr="008070DB">
              <w:rPr>
                <w:i/>
                <w:iCs/>
                <w:color w:val="000000"/>
                <w:sz w:val="18"/>
                <w:szCs w:val="18"/>
                <w:lang w:val="ro-RO"/>
              </w:rPr>
              <w:lastRenderedPageBreak/>
              <w:t>contraparte centrală calificată (CPCC)</w:t>
            </w:r>
            <w:r w:rsidRPr="008070DB">
              <w:rPr>
                <w:color w:val="000000"/>
                <w:sz w:val="18"/>
                <w:szCs w:val="18"/>
                <w:lang w:val="ro-RO"/>
              </w:rPr>
              <w:t xml:space="preserve"> - o contraparte centrală care fie a fost autorizată de către o autoritate competentă a statului membru Uniunii Europene (UE) în care este stabilită sau într-o țară terță a UE;</w:t>
            </w:r>
          </w:p>
          <w:p w14:paraId="5E8156AB" w14:textId="77777777" w:rsidR="0037189C" w:rsidRPr="008070DB" w:rsidRDefault="0037189C" w:rsidP="003456B0">
            <w:pPr>
              <w:tabs>
                <w:tab w:val="left" w:pos="540"/>
              </w:tabs>
              <w:ind w:left="-43"/>
              <w:jc w:val="both"/>
              <w:rPr>
                <w:color w:val="000000"/>
                <w:sz w:val="18"/>
                <w:szCs w:val="18"/>
                <w:lang w:val="ro-RO"/>
              </w:rPr>
            </w:pPr>
          </w:p>
        </w:tc>
        <w:tc>
          <w:tcPr>
            <w:tcW w:w="1554" w:type="dxa"/>
          </w:tcPr>
          <w:p w14:paraId="22E6C9F2" w14:textId="20D63CD0" w:rsidR="0037189C" w:rsidRPr="00A96E09" w:rsidRDefault="0037189C"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0ADE1678" w14:textId="77777777" w:rsidR="0037189C" w:rsidRPr="00A96E09" w:rsidRDefault="0037189C" w:rsidP="00C14AF6">
            <w:pPr>
              <w:rPr>
                <w:sz w:val="18"/>
                <w:szCs w:val="18"/>
                <w:lang w:val="ro-MD"/>
              </w:rPr>
            </w:pPr>
          </w:p>
        </w:tc>
      </w:tr>
      <w:tr w:rsidR="005A16C7" w:rsidRPr="00A96E09" w14:paraId="0CCB6D0C" w14:textId="77777777" w:rsidTr="00C14AF6">
        <w:trPr>
          <w:trHeight w:val="918"/>
        </w:trPr>
        <w:tc>
          <w:tcPr>
            <w:tcW w:w="3866" w:type="dxa"/>
          </w:tcPr>
          <w:p w14:paraId="3EFB504F" w14:textId="3EBE7145" w:rsidR="005A16C7" w:rsidRPr="00A96E09" w:rsidRDefault="005A16C7" w:rsidP="003456B0">
            <w:pPr>
              <w:pStyle w:val="CM4"/>
              <w:spacing w:after="120"/>
              <w:jc w:val="both"/>
              <w:rPr>
                <w:rFonts w:ascii="Times New Roman" w:hAnsi="Times New Roman"/>
                <w:b/>
                <w:sz w:val="18"/>
                <w:szCs w:val="18"/>
                <w:lang w:val="ru-RU"/>
              </w:rPr>
            </w:pPr>
            <w:r w:rsidRPr="00A96E09">
              <w:rPr>
                <w:rFonts w:ascii="Times New Roman" w:hAnsi="Times New Roman"/>
                <w:b/>
                <w:sz w:val="18"/>
                <w:szCs w:val="18"/>
                <w:lang w:val="ru-RU"/>
              </w:rPr>
              <w:t xml:space="preserve">91. </w:t>
            </w:r>
            <w:r w:rsidRPr="00A96E09">
              <w:rPr>
                <w:rFonts w:ascii="Times New Roman" w:hAnsi="Times New Roman"/>
                <w:bCs/>
                <w:sz w:val="18"/>
                <w:szCs w:val="18"/>
                <w:lang w:val="ru-RU"/>
              </w:rPr>
              <w:t>„</w:t>
            </w:r>
            <w:r w:rsidRPr="00A96E09">
              <w:rPr>
                <w:rFonts w:ascii="Times New Roman" w:hAnsi="Times New Roman"/>
                <w:bCs/>
                <w:sz w:val="18"/>
                <w:szCs w:val="18"/>
              </w:rPr>
              <w:t>expunere</w:t>
            </w:r>
            <w:r w:rsidRPr="00A96E09">
              <w:rPr>
                <w:rFonts w:ascii="Times New Roman" w:hAnsi="Times New Roman"/>
                <w:bCs/>
                <w:sz w:val="18"/>
                <w:szCs w:val="18"/>
                <w:lang w:val="ru-RU"/>
              </w:rPr>
              <w:t xml:space="preserve"> </w:t>
            </w:r>
            <w:r w:rsidRPr="00A96E09">
              <w:rPr>
                <w:rFonts w:ascii="Times New Roman" w:hAnsi="Times New Roman"/>
                <w:bCs/>
                <w:sz w:val="18"/>
                <w:szCs w:val="18"/>
              </w:rPr>
              <w:t>din</w:t>
            </w:r>
            <w:r w:rsidRPr="00A96E09">
              <w:rPr>
                <w:rFonts w:ascii="Times New Roman" w:hAnsi="Times New Roman"/>
                <w:bCs/>
                <w:sz w:val="18"/>
                <w:szCs w:val="18"/>
                <w:lang w:val="ru-RU"/>
              </w:rPr>
              <w:t xml:space="preserve"> </w:t>
            </w:r>
            <w:r w:rsidRPr="00A96E09">
              <w:rPr>
                <w:rFonts w:ascii="Times New Roman" w:hAnsi="Times New Roman"/>
                <w:bCs/>
                <w:sz w:val="18"/>
                <w:szCs w:val="18"/>
              </w:rPr>
              <w:t>tranzac</w:t>
            </w:r>
            <w:r w:rsidRPr="00A96E09">
              <w:rPr>
                <w:rFonts w:ascii="Times New Roman" w:hAnsi="Times New Roman"/>
                <w:bCs/>
                <w:sz w:val="18"/>
                <w:szCs w:val="18"/>
                <w:lang w:val="ru-RU"/>
              </w:rPr>
              <w:t>ţ</w:t>
            </w:r>
            <w:r w:rsidRPr="00A96E09">
              <w:rPr>
                <w:rFonts w:ascii="Times New Roman" w:hAnsi="Times New Roman"/>
                <w:bCs/>
                <w:sz w:val="18"/>
                <w:szCs w:val="18"/>
              </w:rPr>
              <w:t>ii</w:t>
            </w:r>
            <w:r w:rsidRPr="00A96E09">
              <w:rPr>
                <w:rFonts w:ascii="Times New Roman" w:hAnsi="Times New Roman"/>
                <w:bCs/>
                <w:sz w:val="18"/>
                <w:szCs w:val="18"/>
                <w:lang w:val="ru-RU"/>
              </w:rPr>
              <w:t>” î</w:t>
            </w:r>
            <w:r w:rsidRPr="00A96E09">
              <w:rPr>
                <w:rFonts w:ascii="Times New Roman" w:hAnsi="Times New Roman"/>
                <w:bCs/>
                <w:sz w:val="18"/>
                <w:szCs w:val="18"/>
              </w:rPr>
              <w:t>nseamn</w:t>
            </w:r>
            <w:r w:rsidRPr="00A96E09">
              <w:rPr>
                <w:rFonts w:ascii="Times New Roman" w:hAnsi="Times New Roman"/>
                <w:bCs/>
                <w:sz w:val="18"/>
                <w:szCs w:val="18"/>
                <w:lang w:val="ru-RU"/>
              </w:rPr>
              <w:t xml:space="preserve">ă </w:t>
            </w:r>
            <w:r w:rsidRPr="00A96E09">
              <w:rPr>
                <w:rFonts w:ascii="Times New Roman" w:hAnsi="Times New Roman"/>
                <w:bCs/>
                <w:sz w:val="18"/>
                <w:szCs w:val="18"/>
              </w:rPr>
              <w:t>o</w:t>
            </w:r>
            <w:r w:rsidRPr="00A96E09">
              <w:rPr>
                <w:rFonts w:ascii="Times New Roman" w:hAnsi="Times New Roman"/>
                <w:bCs/>
                <w:sz w:val="18"/>
                <w:szCs w:val="18"/>
                <w:lang w:val="ru-RU"/>
              </w:rPr>
              <w:t xml:space="preserve"> </w:t>
            </w:r>
            <w:r w:rsidRPr="00A96E09">
              <w:rPr>
                <w:rFonts w:ascii="Times New Roman" w:hAnsi="Times New Roman"/>
                <w:bCs/>
                <w:sz w:val="18"/>
                <w:szCs w:val="18"/>
              </w:rPr>
              <w:t>expunere</w:t>
            </w:r>
            <w:r w:rsidRPr="00A96E09">
              <w:rPr>
                <w:rFonts w:ascii="Times New Roman" w:hAnsi="Times New Roman"/>
                <w:bCs/>
                <w:sz w:val="18"/>
                <w:szCs w:val="18"/>
                <w:lang w:val="ru-RU"/>
              </w:rPr>
              <w:t xml:space="preserve"> </w:t>
            </w:r>
            <w:r w:rsidRPr="00A96E09">
              <w:rPr>
                <w:rFonts w:ascii="Times New Roman" w:hAnsi="Times New Roman"/>
                <w:bCs/>
                <w:sz w:val="18"/>
                <w:szCs w:val="18"/>
              </w:rPr>
              <w:t>curent</w:t>
            </w:r>
            <w:r w:rsidRPr="00A96E09">
              <w:rPr>
                <w:rFonts w:ascii="Times New Roman" w:hAnsi="Times New Roman"/>
                <w:bCs/>
                <w:sz w:val="18"/>
                <w:szCs w:val="18"/>
                <w:lang w:val="ru-RU"/>
              </w:rPr>
              <w:t xml:space="preserve">ă </w:t>
            </w:r>
            <w:r w:rsidRPr="00A96E09">
              <w:rPr>
                <w:rFonts w:ascii="Times New Roman" w:hAnsi="Times New Roman"/>
                <w:bCs/>
                <w:sz w:val="18"/>
                <w:szCs w:val="18"/>
              </w:rPr>
              <w:t>incluz</w:t>
            </w:r>
            <w:r w:rsidRPr="00A96E09">
              <w:rPr>
                <w:rFonts w:ascii="Times New Roman" w:hAnsi="Times New Roman"/>
                <w:bCs/>
                <w:sz w:val="18"/>
                <w:szCs w:val="18"/>
                <w:lang w:val="ru-RU"/>
              </w:rPr>
              <w:t>â</w:t>
            </w:r>
            <w:r w:rsidRPr="00A96E09">
              <w:rPr>
                <w:rFonts w:ascii="Times New Roman" w:hAnsi="Times New Roman"/>
                <w:bCs/>
                <w:sz w:val="18"/>
                <w:szCs w:val="18"/>
              </w:rPr>
              <w:t>nd</w:t>
            </w:r>
            <w:r w:rsidRPr="00A96E09">
              <w:rPr>
                <w:rFonts w:ascii="Times New Roman" w:hAnsi="Times New Roman"/>
                <w:bCs/>
                <w:sz w:val="18"/>
                <w:szCs w:val="18"/>
                <w:lang w:val="ru-RU"/>
              </w:rPr>
              <w:t xml:space="preserve"> </w:t>
            </w:r>
            <w:r w:rsidRPr="00A96E09">
              <w:rPr>
                <w:rFonts w:ascii="Times New Roman" w:hAnsi="Times New Roman"/>
                <w:bCs/>
                <w:sz w:val="18"/>
                <w:szCs w:val="18"/>
              </w:rPr>
              <w:t>o</w:t>
            </w:r>
            <w:r w:rsidRPr="00A96E09">
              <w:rPr>
                <w:rFonts w:ascii="Times New Roman" w:hAnsi="Times New Roman"/>
                <w:bCs/>
                <w:sz w:val="18"/>
                <w:szCs w:val="18"/>
                <w:lang w:val="ru-RU"/>
              </w:rPr>
              <w:t xml:space="preserve"> </w:t>
            </w:r>
            <w:r w:rsidRPr="00A96E09">
              <w:rPr>
                <w:rFonts w:ascii="Times New Roman" w:hAnsi="Times New Roman"/>
                <w:bCs/>
                <w:sz w:val="18"/>
                <w:szCs w:val="18"/>
              </w:rPr>
              <w:t>marj</w:t>
            </w:r>
            <w:r w:rsidRPr="00A96E09">
              <w:rPr>
                <w:rFonts w:ascii="Times New Roman" w:hAnsi="Times New Roman"/>
                <w:bCs/>
                <w:sz w:val="18"/>
                <w:szCs w:val="18"/>
                <w:lang w:val="ru-RU"/>
              </w:rPr>
              <w:t xml:space="preserve">ă </w:t>
            </w:r>
            <w:r w:rsidRPr="00A96E09">
              <w:rPr>
                <w:rFonts w:ascii="Times New Roman" w:hAnsi="Times New Roman"/>
                <w:bCs/>
                <w:sz w:val="18"/>
                <w:szCs w:val="18"/>
              </w:rPr>
              <w:t>de</w:t>
            </w:r>
            <w:r w:rsidRPr="00A96E09">
              <w:rPr>
                <w:rFonts w:ascii="Times New Roman" w:hAnsi="Times New Roman"/>
                <w:bCs/>
                <w:sz w:val="18"/>
                <w:szCs w:val="18"/>
                <w:lang w:val="ru-RU"/>
              </w:rPr>
              <w:t xml:space="preserve"> </w:t>
            </w:r>
            <w:r w:rsidRPr="00A96E09">
              <w:rPr>
                <w:rFonts w:ascii="Times New Roman" w:hAnsi="Times New Roman"/>
                <w:bCs/>
                <w:sz w:val="18"/>
                <w:szCs w:val="18"/>
              </w:rPr>
              <w:t>varia</w:t>
            </w:r>
            <w:r w:rsidRPr="00A96E09">
              <w:rPr>
                <w:rFonts w:ascii="Times New Roman" w:hAnsi="Times New Roman"/>
                <w:bCs/>
                <w:sz w:val="18"/>
                <w:szCs w:val="18"/>
                <w:lang w:val="ru-RU"/>
              </w:rPr>
              <w:t>ţ</w:t>
            </w:r>
            <w:r w:rsidRPr="00A96E09">
              <w:rPr>
                <w:rFonts w:ascii="Times New Roman" w:hAnsi="Times New Roman"/>
                <w:bCs/>
                <w:sz w:val="18"/>
                <w:szCs w:val="18"/>
              </w:rPr>
              <w:t>ie</w:t>
            </w:r>
            <w:r w:rsidRPr="00A96E09">
              <w:rPr>
                <w:rFonts w:ascii="Times New Roman" w:hAnsi="Times New Roman"/>
                <w:bCs/>
                <w:sz w:val="18"/>
                <w:szCs w:val="18"/>
                <w:lang w:val="ru-RU"/>
              </w:rPr>
              <w:t xml:space="preserve"> </w:t>
            </w:r>
            <w:r w:rsidRPr="00A96E09">
              <w:rPr>
                <w:rFonts w:ascii="Times New Roman" w:hAnsi="Times New Roman"/>
                <w:bCs/>
                <w:sz w:val="18"/>
                <w:szCs w:val="18"/>
              </w:rPr>
              <w:t>datorat</w:t>
            </w:r>
            <w:r w:rsidRPr="00A96E09">
              <w:rPr>
                <w:rFonts w:ascii="Times New Roman" w:hAnsi="Times New Roman"/>
                <w:bCs/>
                <w:sz w:val="18"/>
                <w:szCs w:val="18"/>
                <w:lang w:val="ru-RU"/>
              </w:rPr>
              <w:t xml:space="preserve">ă </w:t>
            </w:r>
            <w:r w:rsidRPr="00A96E09">
              <w:rPr>
                <w:rFonts w:ascii="Times New Roman" w:hAnsi="Times New Roman"/>
                <w:bCs/>
                <w:sz w:val="18"/>
                <w:szCs w:val="18"/>
              </w:rPr>
              <w:t>membrului</w:t>
            </w:r>
            <w:r w:rsidRPr="00A96E09">
              <w:rPr>
                <w:rFonts w:ascii="Times New Roman" w:hAnsi="Times New Roman"/>
                <w:bCs/>
                <w:sz w:val="18"/>
                <w:szCs w:val="18"/>
                <w:lang w:val="ru-RU"/>
              </w:rPr>
              <w:t xml:space="preserve"> </w:t>
            </w:r>
            <w:r w:rsidRPr="00A96E09">
              <w:rPr>
                <w:rFonts w:ascii="Times New Roman" w:hAnsi="Times New Roman"/>
                <w:bCs/>
                <w:sz w:val="18"/>
                <w:szCs w:val="18"/>
              </w:rPr>
              <w:t>compensator</w:t>
            </w:r>
            <w:r w:rsidRPr="00A96E09">
              <w:rPr>
                <w:rFonts w:ascii="Times New Roman" w:hAnsi="Times New Roman"/>
                <w:bCs/>
                <w:sz w:val="18"/>
                <w:szCs w:val="18"/>
                <w:lang w:val="ru-RU"/>
              </w:rPr>
              <w:t xml:space="preserve">, </w:t>
            </w:r>
            <w:r w:rsidRPr="00A96E09">
              <w:rPr>
                <w:rFonts w:ascii="Times New Roman" w:hAnsi="Times New Roman"/>
                <w:bCs/>
                <w:sz w:val="18"/>
                <w:szCs w:val="18"/>
              </w:rPr>
              <w:t>dar</w:t>
            </w:r>
            <w:r w:rsidRPr="00A96E09">
              <w:rPr>
                <w:rFonts w:ascii="Times New Roman" w:hAnsi="Times New Roman"/>
                <w:bCs/>
                <w:sz w:val="18"/>
                <w:szCs w:val="18"/>
                <w:lang w:val="ru-RU"/>
              </w:rPr>
              <w:t xml:space="preserve"> î</w:t>
            </w:r>
            <w:r w:rsidRPr="00A96E09">
              <w:rPr>
                <w:rFonts w:ascii="Times New Roman" w:hAnsi="Times New Roman"/>
                <w:bCs/>
                <w:sz w:val="18"/>
                <w:szCs w:val="18"/>
              </w:rPr>
              <w:t>nc</w:t>
            </w:r>
            <w:r w:rsidRPr="00A96E09">
              <w:rPr>
                <w:rFonts w:ascii="Times New Roman" w:hAnsi="Times New Roman"/>
                <w:bCs/>
                <w:sz w:val="18"/>
                <w:szCs w:val="18"/>
                <w:lang w:val="ru-RU"/>
              </w:rPr>
              <w:t xml:space="preserve">ă </w:t>
            </w:r>
            <w:r w:rsidRPr="00A96E09">
              <w:rPr>
                <w:rFonts w:ascii="Times New Roman" w:hAnsi="Times New Roman"/>
                <w:bCs/>
                <w:sz w:val="18"/>
                <w:szCs w:val="18"/>
              </w:rPr>
              <w:t>neprimit</w:t>
            </w:r>
            <w:r w:rsidRPr="00A96E09">
              <w:rPr>
                <w:rFonts w:ascii="Times New Roman" w:hAnsi="Times New Roman"/>
                <w:bCs/>
                <w:sz w:val="18"/>
                <w:szCs w:val="18"/>
                <w:lang w:val="ru-RU"/>
              </w:rPr>
              <w:t>ă, ș</w:t>
            </w:r>
            <w:r w:rsidRPr="00A96E09">
              <w:rPr>
                <w:rFonts w:ascii="Times New Roman" w:hAnsi="Times New Roman"/>
                <w:bCs/>
                <w:sz w:val="18"/>
                <w:szCs w:val="18"/>
              </w:rPr>
              <w:t>i</w:t>
            </w:r>
            <w:r w:rsidRPr="00A96E09">
              <w:rPr>
                <w:rFonts w:ascii="Times New Roman" w:hAnsi="Times New Roman"/>
                <w:bCs/>
                <w:sz w:val="18"/>
                <w:szCs w:val="18"/>
                <w:lang w:val="ru-RU"/>
              </w:rPr>
              <w:t xml:space="preserve"> </w:t>
            </w:r>
            <w:r w:rsidRPr="00A96E09">
              <w:rPr>
                <w:rFonts w:ascii="Times New Roman" w:hAnsi="Times New Roman"/>
                <w:bCs/>
                <w:sz w:val="18"/>
                <w:szCs w:val="18"/>
              </w:rPr>
              <w:t>orice</w:t>
            </w:r>
            <w:r w:rsidRPr="00A96E09">
              <w:rPr>
                <w:rFonts w:ascii="Times New Roman" w:hAnsi="Times New Roman"/>
                <w:bCs/>
                <w:sz w:val="18"/>
                <w:szCs w:val="18"/>
                <w:lang w:val="ru-RU"/>
              </w:rPr>
              <w:t xml:space="preserve"> </w:t>
            </w:r>
            <w:r w:rsidRPr="00A96E09">
              <w:rPr>
                <w:rFonts w:ascii="Times New Roman" w:hAnsi="Times New Roman"/>
                <w:bCs/>
                <w:sz w:val="18"/>
                <w:szCs w:val="18"/>
              </w:rPr>
              <w:t>expunere</w:t>
            </w:r>
            <w:r w:rsidRPr="00A96E09">
              <w:rPr>
                <w:rFonts w:ascii="Times New Roman" w:hAnsi="Times New Roman"/>
                <w:bCs/>
                <w:sz w:val="18"/>
                <w:szCs w:val="18"/>
                <w:lang w:val="ru-RU"/>
              </w:rPr>
              <w:t xml:space="preserve"> </w:t>
            </w:r>
            <w:r w:rsidRPr="00A96E09">
              <w:rPr>
                <w:rFonts w:ascii="Times New Roman" w:hAnsi="Times New Roman"/>
                <w:bCs/>
                <w:sz w:val="18"/>
                <w:szCs w:val="18"/>
              </w:rPr>
              <w:t>viitoare</w:t>
            </w:r>
            <w:r w:rsidRPr="00A96E09">
              <w:rPr>
                <w:rFonts w:ascii="Times New Roman" w:hAnsi="Times New Roman"/>
                <w:bCs/>
                <w:sz w:val="18"/>
                <w:szCs w:val="18"/>
                <w:lang w:val="ru-RU"/>
              </w:rPr>
              <w:t xml:space="preserve"> </w:t>
            </w:r>
            <w:r w:rsidRPr="00A96E09">
              <w:rPr>
                <w:rFonts w:ascii="Times New Roman" w:hAnsi="Times New Roman"/>
                <w:bCs/>
                <w:sz w:val="18"/>
                <w:szCs w:val="18"/>
              </w:rPr>
              <w:t>poten</w:t>
            </w:r>
            <w:r w:rsidRPr="00A96E09">
              <w:rPr>
                <w:rFonts w:ascii="Times New Roman" w:hAnsi="Times New Roman"/>
                <w:bCs/>
                <w:sz w:val="18"/>
                <w:szCs w:val="18"/>
                <w:lang w:val="ru-RU"/>
              </w:rPr>
              <w:t>ţ</w:t>
            </w:r>
            <w:r w:rsidRPr="00A96E09">
              <w:rPr>
                <w:rFonts w:ascii="Times New Roman" w:hAnsi="Times New Roman"/>
                <w:bCs/>
                <w:sz w:val="18"/>
                <w:szCs w:val="18"/>
              </w:rPr>
              <w:t>ial</w:t>
            </w:r>
            <w:r w:rsidRPr="00A96E09">
              <w:rPr>
                <w:rFonts w:ascii="Times New Roman" w:hAnsi="Times New Roman"/>
                <w:bCs/>
                <w:sz w:val="18"/>
                <w:szCs w:val="18"/>
                <w:lang w:val="ru-RU"/>
              </w:rPr>
              <w:t xml:space="preserve">ă </w:t>
            </w:r>
            <w:r w:rsidRPr="00A96E09">
              <w:rPr>
                <w:rFonts w:ascii="Times New Roman" w:hAnsi="Times New Roman"/>
                <w:bCs/>
                <w:sz w:val="18"/>
                <w:szCs w:val="18"/>
              </w:rPr>
              <w:t>a</w:t>
            </w:r>
            <w:r w:rsidRPr="00A96E09">
              <w:rPr>
                <w:rFonts w:ascii="Times New Roman" w:hAnsi="Times New Roman"/>
                <w:bCs/>
                <w:sz w:val="18"/>
                <w:szCs w:val="18"/>
                <w:lang w:val="ru-RU"/>
              </w:rPr>
              <w:t xml:space="preserve"> </w:t>
            </w:r>
            <w:r w:rsidRPr="00A96E09">
              <w:rPr>
                <w:rFonts w:ascii="Times New Roman" w:hAnsi="Times New Roman"/>
                <w:bCs/>
                <w:sz w:val="18"/>
                <w:szCs w:val="18"/>
              </w:rPr>
              <w:t>unui</w:t>
            </w:r>
            <w:r w:rsidRPr="00A96E09">
              <w:rPr>
                <w:rFonts w:ascii="Times New Roman" w:hAnsi="Times New Roman"/>
                <w:bCs/>
                <w:sz w:val="18"/>
                <w:szCs w:val="18"/>
                <w:lang w:val="ru-RU"/>
              </w:rPr>
              <w:t xml:space="preserve"> </w:t>
            </w:r>
            <w:r w:rsidRPr="00A96E09">
              <w:rPr>
                <w:rFonts w:ascii="Times New Roman" w:hAnsi="Times New Roman"/>
                <w:bCs/>
                <w:sz w:val="18"/>
                <w:szCs w:val="18"/>
              </w:rPr>
              <w:t>membru</w:t>
            </w:r>
            <w:r w:rsidRPr="00A96E09">
              <w:rPr>
                <w:rFonts w:ascii="Times New Roman" w:hAnsi="Times New Roman"/>
                <w:bCs/>
                <w:sz w:val="18"/>
                <w:szCs w:val="18"/>
                <w:lang w:val="ru-RU"/>
              </w:rPr>
              <w:t xml:space="preserve"> </w:t>
            </w:r>
            <w:r w:rsidRPr="00A96E09">
              <w:rPr>
                <w:rFonts w:ascii="Times New Roman" w:hAnsi="Times New Roman"/>
                <w:bCs/>
                <w:sz w:val="18"/>
                <w:szCs w:val="18"/>
              </w:rPr>
              <w:t>compensator</w:t>
            </w:r>
            <w:r w:rsidRPr="00A96E09">
              <w:rPr>
                <w:rFonts w:ascii="Times New Roman" w:hAnsi="Times New Roman"/>
                <w:bCs/>
                <w:sz w:val="18"/>
                <w:szCs w:val="18"/>
                <w:lang w:val="ru-RU"/>
              </w:rPr>
              <w:t xml:space="preserve"> </w:t>
            </w:r>
            <w:r w:rsidRPr="00A96E09">
              <w:rPr>
                <w:rFonts w:ascii="Times New Roman" w:hAnsi="Times New Roman"/>
                <w:bCs/>
                <w:sz w:val="18"/>
                <w:szCs w:val="18"/>
              </w:rPr>
              <w:t>sau</w:t>
            </w:r>
            <w:r w:rsidRPr="00A96E09">
              <w:rPr>
                <w:rFonts w:ascii="Times New Roman" w:hAnsi="Times New Roman"/>
                <w:bCs/>
                <w:sz w:val="18"/>
                <w:szCs w:val="18"/>
                <w:lang w:val="ru-RU"/>
              </w:rPr>
              <w:t xml:space="preserve"> </w:t>
            </w:r>
            <w:r w:rsidRPr="00A96E09">
              <w:rPr>
                <w:rFonts w:ascii="Times New Roman" w:hAnsi="Times New Roman"/>
                <w:bCs/>
                <w:sz w:val="18"/>
                <w:szCs w:val="18"/>
              </w:rPr>
              <w:t>a</w:t>
            </w:r>
            <w:r w:rsidRPr="00A96E09">
              <w:rPr>
                <w:rFonts w:ascii="Times New Roman" w:hAnsi="Times New Roman"/>
                <w:bCs/>
                <w:sz w:val="18"/>
                <w:szCs w:val="18"/>
                <w:lang w:val="ru-RU"/>
              </w:rPr>
              <w:t xml:space="preserve"> </w:t>
            </w:r>
            <w:r w:rsidRPr="00A96E09">
              <w:rPr>
                <w:rFonts w:ascii="Times New Roman" w:hAnsi="Times New Roman"/>
                <w:bCs/>
                <w:sz w:val="18"/>
                <w:szCs w:val="18"/>
              </w:rPr>
              <w:t>unui</w:t>
            </w:r>
            <w:r w:rsidRPr="00A96E09">
              <w:rPr>
                <w:rFonts w:ascii="Times New Roman" w:hAnsi="Times New Roman"/>
                <w:bCs/>
                <w:sz w:val="18"/>
                <w:szCs w:val="18"/>
                <w:lang w:val="ru-RU"/>
              </w:rPr>
              <w:t xml:space="preserve"> </w:t>
            </w:r>
            <w:r w:rsidRPr="00A96E09">
              <w:rPr>
                <w:rFonts w:ascii="Times New Roman" w:hAnsi="Times New Roman"/>
                <w:bCs/>
                <w:sz w:val="18"/>
                <w:szCs w:val="18"/>
              </w:rPr>
              <w:t>client</w:t>
            </w:r>
            <w:r w:rsidRPr="00A96E09">
              <w:rPr>
                <w:rFonts w:ascii="Times New Roman" w:hAnsi="Times New Roman"/>
                <w:bCs/>
                <w:sz w:val="18"/>
                <w:szCs w:val="18"/>
                <w:lang w:val="ru-RU"/>
              </w:rPr>
              <w:t xml:space="preserve"> </w:t>
            </w:r>
            <w:r w:rsidRPr="00A96E09">
              <w:rPr>
                <w:rFonts w:ascii="Times New Roman" w:hAnsi="Times New Roman"/>
                <w:bCs/>
                <w:sz w:val="18"/>
                <w:szCs w:val="18"/>
              </w:rPr>
              <w:t>la</w:t>
            </w:r>
            <w:r w:rsidRPr="00A96E09">
              <w:rPr>
                <w:rFonts w:ascii="Times New Roman" w:hAnsi="Times New Roman"/>
                <w:bCs/>
                <w:sz w:val="18"/>
                <w:szCs w:val="18"/>
                <w:lang w:val="ru-RU"/>
              </w:rPr>
              <w:t xml:space="preserve"> </w:t>
            </w:r>
            <w:r w:rsidRPr="00A96E09">
              <w:rPr>
                <w:rFonts w:ascii="Times New Roman" w:hAnsi="Times New Roman"/>
                <w:bCs/>
                <w:sz w:val="18"/>
                <w:szCs w:val="18"/>
              </w:rPr>
              <w:t>un</w:t>
            </w:r>
            <w:r w:rsidRPr="00A96E09">
              <w:rPr>
                <w:rFonts w:ascii="Times New Roman" w:hAnsi="Times New Roman"/>
                <w:bCs/>
                <w:sz w:val="18"/>
                <w:szCs w:val="18"/>
                <w:lang w:val="ru-RU"/>
              </w:rPr>
              <w:t xml:space="preserve"> </w:t>
            </w:r>
            <w:r w:rsidRPr="00A96E09">
              <w:rPr>
                <w:rFonts w:ascii="Times New Roman" w:hAnsi="Times New Roman"/>
                <w:bCs/>
                <w:sz w:val="18"/>
                <w:szCs w:val="18"/>
              </w:rPr>
              <w:t>CPC</w:t>
            </w:r>
            <w:r w:rsidRPr="00A96E09">
              <w:rPr>
                <w:rFonts w:ascii="Times New Roman" w:hAnsi="Times New Roman"/>
                <w:bCs/>
                <w:sz w:val="18"/>
                <w:szCs w:val="18"/>
                <w:lang w:val="ru-RU"/>
              </w:rPr>
              <w:t xml:space="preserve"> </w:t>
            </w:r>
            <w:r w:rsidRPr="00A96E09">
              <w:rPr>
                <w:rFonts w:ascii="Times New Roman" w:hAnsi="Times New Roman"/>
                <w:bCs/>
                <w:sz w:val="18"/>
                <w:szCs w:val="18"/>
              </w:rPr>
              <w:t>care</w:t>
            </w:r>
            <w:r w:rsidRPr="00A96E09">
              <w:rPr>
                <w:rFonts w:ascii="Times New Roman" w:hAnsi="Times New Roman"/>
                <w:bCs/>
                <w:sz w:val="18"/>
                <w:szCs w:val="18"/>
                <w:lang w:val="ru-RU"/>
              </w:rPr>
              <w:t xml:space="preserve"> </w:t>
            </w:r>
            <w:r w:rsidRPr="00A96E09">
              <w:rPr>
                <w:rFonts w:ascii="Times New Roman" w:hAnsi="Times New Roman"/>
                <w:bCs/>
                <w:sz w:val="18"/>
                <w:szCs w:val="18"/>
              </w:rPr>
              <w:t>rezult</w:t>
            </w:r>
            <w:r w:rsidRPr="00A96E09">
              <w:rPr>
                <w:rFonts w:ascii="Times New Roman" w:hAnsi="Times New Roman"/>
                <w:bCs/>
                <w:sz w:val="18"/>
                <w:szCs w:val="18"/>
                <w:lang w:val="ru-RU"/>
              </w:rPr>
              <w:t xml:space="preserve">ă </w:t>
            </w:r>
            <w:r w:rsidRPr="00A96E09">
              <w:rPr>
                <w:rFonts w:ascii="Times New Roman" w:hAnsi="Times New Roman"/>
                <w:bCs/>
                <w:sz w:val="18"/>
                <w:szCs w:val="18"/>
              </w:rPr>
              <w:t>din</w:t>
            </w:r>
            <w:r w:rsidRPr="00A96E09">
              <w:rPr>
                <w:rFonts w:ascii="Times New Roman" w:hAnsi="Times New Roman"/>
                <w:bCs/>
                <w:sz w:val="18"/>
                <w:szCs w:val="18"/>
                <w:lang w:val="ru-RU"/>
              </w:rPr>
              <w:t xml:space="preserve"> </w:t>
            </w:r>
            <w:r w:rsidRPr="00A96E09">
              <w:rPr>
                <w:rFonts w:ascii="Times New Roman" w:hAnsi="Times New Roman"/>
                <w:bCs/>
                <w:sz w:val="18"/>
                <w:szCs w:val="18"/>
              </w:rPr>
              <w:t>contractele</w:t>
            </w:r>
            <w:r w:rsidRPr="00A96E09">
              <w:rPr>
                <w:rFonts w:ascii="Times New Roman" w:hAnsi="Times New Roman"/>
                <w:bCs/>
                <w:sz w:val="18"/>
                <w:szCs w:val="18"/>
                <w:lang w:val="ru-RU"/>
              </w:rPr>
              <w:t xml:space="preserve"> ș</w:t>
            </w:r>
            <w:r w:rsidRPr="00A96E09">
              <w:rPr>
                <w:rFonts w:ascii="Times New Roman" w:hAnsi="Times New Roman"/>
                <w:bCs/>
                <w:sz w:val="18"/>
                <w:szCs w:val="18"/>
              </w:rPr>
              <w:t>i</w:t>
            </w:r>
            <w:r w:rsidRPr="00A96E09">
              <w:rPr>
                <w:rFonts w:ascii="Times New Roman" w:hAnsi="Times New Roman"/>
                <w:bCs/>
                <w:sz w:val="18"/>
                <w:szCs w:val="18"/>
                <w:lang w:val="ru-RU"/>
              </w:rPr>
              <w:t xml:space="preserve"> </w:t>
            </w:r>
            <w:r w:rsidRPr="00A96E09">
              <w:rPr>
                <w:rFonts w:ascii="Times New Roman" w:hAnsi="Times New Roman"/>
                <w:bCs/>
                <w:sz w:val="18"/>
                <w:szCs w:val="18"/>
              </w:rPr>
              <w:t>tranzac</w:t>
            </w:r>
            <w:r w:rsidRPr="00A96E09">
              <w:rPr>
                <w:rFonts w:ascii="Times New Roman" w:hAnsi="Times New Roman"/>
                <w:bCs/>
                <w:sz w:val="18"/>
                <w:szCs w:val="18"/>
                <w:lang w:val="ru-RU"/>
              </w:rPr>
              <w:t>ţ</w:t>
            </w:r>
            <w:r w:rsidRPr="00A96E09">
              <w:rPr>
                <w:rFonts w:ascii="Times New Roman" w:hAnsi="Times New Roman"/>
                <w:bCs/>
                <w:sz w:val="18"/>
                <w:szCs w:val="18"/>
              </w:rPr>
              <w:t>iile</w:t>
            </w:r>
            <w:r w:rsidRPr="00A96E09">
              <w:rPr>
                <w:rFonts w:ascii="Times New Roman" w:hAnsi="Times New Roman"/>
                <w:bCs/>
                <w:sz w:val="18"/>
                <w:szCs w:val="18"/>
                <w:lang w:val="ru-RU"/>
              </w:rPr>
              <w:t xml:space="preserve"> </w:t>
            </w:r>
            <w:r w:rsidRPr="00A96E09">
              <w:rPr>
                <w:rFonts w:ascii="Times New Roman" w:hAnsi="Times New Roman"/>
                <w:bCs/>
                <w:sz w:val="18"/>
                <w:szCs w:val="18"/>
              </w:rPr>
              <w:t>enumerate</w:t>
            </w:r>
            <w:r w:rsidRPr="00A96E09">
              <w:rPr>
                <w:rFonts w:ascii="Times New Roman" w:hAnsi="Times New Roman"/>
                <w:bCs/>
                <w:sz w:val="18"/>
                <w:szCs w:val="18"/>
                <w:lang w:val="ru-RU"/>
              </w:rPr>
              <w:t xml:space="preserve"> </w:t>
            </w:r>
            <w:r w:rsidRPr="00A96E09">
              <w:rPr>
                <w:rFonts w:ascii="Times New Roman" w:hAnsi="Times New Roman"/>
                <w:bCs/>
                <w:sz w:val="18"/>
                <w:szCs w:val="18"/>
              </w:rPr>
              <w:t>la</w:t>
            </w:r>
            <w:r w:rsidRPr="00A96E09">
              <w:rPr>
                <w:rFonts w:ascii="Times New Roman" w:hAnsi="Times New Roman"/>
                <w:bCs/>
                <w:sz w:val="18"/>
                <w:szCs w:val="18"/>
                <w:lang w:val="ru-RU"/>
              </w:rPr>
              <w:t xml:space="preserve"> </w:t>
            </w:r>
            <w:r w:rsidRPr="00A96E09">
              <w:rPr>
                <w:rFonts w:ascii="Times New Roman" w:hAnsi="Times New Roman"/>
                <w:bCs/>
                <w:sz w:val="18"/>
                <w:szCs w:val="18"/>
              </w:rPr>
              <w:t>articolul</w:t>
            </w:r>
            <w:r w:rsidRPr="00A96E09">
              <w:rPr>
                <w:rFonts w:ascii="Times New Roman" w:hAnsi="Times New Roman"/>
                <w:bCs/>
                <w:sz w:val="18"/>
                <w:szCs w:val="18"/>
                <w:lang w:val="ru-RU"/>
              </w:rPr>
              <w:t xml:space="preserve"> 301 </w:t>
            </w:r>
            <w:r w:rsidRPr="00A96E09">
              <w:rPr>
                <w:rFonts w:ascii="Times New Roman" w:hAnsi="Times New Roman"/>
                <w:bCs/>
                <w:sz w:val="18"/>
                <w:szCs w:val="18"/>
              </w:rPr>
              <w:t>alineatul</w:t>
            </w:r>
            <w:r w:rsidRPr="00A96E09">
              <w:rPr>
                <w:rFonts w:ascii="Times New Roman" w:hAnsi="Times New Roman"/>
                <w:bCs/>
                <w:sz w:val="18"/>
                <w:szCs w:val="18"/>
                <w:lang w:val="ru-RU"/>
              </w:rPr>
              <w:t xml:space="preserve"> (1) </w:t>
            </w:r>
            <w:r w:rsidRPr="00A96E09">
              <w:rPr>
                <w:rFonts w:ascii="Times New Roman" w:hAnsi="Times New Roman"/>
                <w:bCs/>
                <w:sz w:val="18"/>
                <w:szCs w:val="18"/>
              </w:rPr>
              <w:t>literele</w:t>
            </w:r>
            <w:r w:rsidRPr="00A96E09">
              <w:rPr>
                <w:rFonts w:ascii="Times New Roman" w:hAnsi="Times New Roman"/>
                <w:bCs/>
                <w:sz w:val="18"/>
                <w:szCs w:val="18"/>
                <w:lang w:val="ru-RU"/>
              </w:rPr>
              <w:t xml:space="preserve"> (</w:t>
            </w:r>
            <w:r w:rsidRPr="00A96E09">
              <w:rPr>
                <w:rFonts w:ascii="Times New Roman" w:hAnsi="Times New Roman"/>
                <w:bCs/>
                <w:sz w:val="18"/>
                <w:szCs w:val="18"/>
              </w:rPr>
              <w:t>a</w:t>
            </w:r>
            <w:r w:rsidRPr="00A96E09">
              <w:rPr>
                <w:rFonts w:ascii="Times New Roman" w:hAnsi="Times New Roman"/>
                <w:bCs/>
                <w:sz w:val="18"/>
                <w:szCs w:val="18"/>
                <w:lang w:val="ru-RU"/>
              </w:rPr>
              <w:t>), (</w:t>
            </w:r>
            <w:r w:rsidRPr="00A96E09">
              <w:rPr>
                <w:rFonts w:ascii="Times New Roman" w:hAnsi="Times New Roman"/>
                <w:bCs/>
                <w:sz w:val="18"/>
                <w:szCs w:val="18"/>
              </w:rPr>
              <w:t>b</w:t>
            </w:r>
            <w:r w:rsidRPr="00A96E09">
              <w:rPr>
                <w:rFonts w:ascii="Times New Roman" w:hAnsi="Times New Roman"/>
                <w:bCs/>
                <w:sz w:val="18"/>
                <w:szCs w:val="18"/>
                <w:lang w:val="ru-RU"/>
              </w:rPr>
              <w:t>) ș</w:t>
            </w:r>
            <w:r w:rsidRPr="00A96E09">
              <w:rPr>
                <w:rFonts w:ascii="Times New Roman" w:hAnsi="Times New Roman"/>
                <w:bCs/>
                <w:sz w:val="18"/>
                <w:szCs w:val="18"/>
              </w:rPr>
              <w:t>i</w:t>
            </w:r>
            <w:r w:rsidRPr="00A96E09">
              <w:rPr>
                <w:rFonts w:ascii="Times New Roman" w:hAnsi="Times New Roman"/>
                <w:bCs/>
                <w:sz w:val="18"/>
                <w:szCs w:val="18"/>
                <w:lang w:val="ru-RU"/>
              </w:rPr>
              <w:t xml:space="preserve"> (</w:t>
            </w:r>
            <w:r w:rsidRPr="00A96E09">
              <w:rPr>
                <w:rFonts w:ascii="Times New Roman" w:hAnsi="Times New Roman"/>
                <w:bCs/>
                <w:sz w:val="18"/>
                <w:szCs w:val="18"/>
              </w:rPr>
              <w:t>c</w:t>
            </w:r>
            <w:r w:rsidRPr="00A96E09">
              <w:rPr>
                <w:rFonts w:ascii="Times New Roman" w:hAnsi="Times New Roman"/>
                <w:bCs/>
                <w:sz w:val="18"/>
                <w:szCs w:val="18"/>
                <w:lang w:val="ru-RU"/>
              </w:rPr>
              <w:t xml:space="preserve">), </w:t>
            </w:r>
            <w:r w:rsidRPr="00A96E09">
              <w:rPr>
                <w:rFonts w:ascii="Times New Roman" w:hAnsi="Times New Roman"/>
                <w:bCs/>
                <w:sz w:val="18"/>
                <w:szCs w:val="18"/>
              </w:rPr>
              <w:t>precum</w:t>
            </w:r>
            <w:r w:rsidRPr="00A96E09">
              <w:rPr>
                <w:rFonts w:ascii="Times New Roman" w:hAnsi="Times New Roman"/>
                <w:bCs/>
                <w:sz w:val="18"/>
                <w:szCs w:val="18"/>
                <w:lang w:val="ru-RU"/>
              </w:rPr>
              <w:t xml:space="preserve"> ș</w:t>
            </w:r>
            <w:r w:rsidRPr="00A96E09">
              <w:rPr>
                <w:rFonts w:ascii="Times New Roman" w:hAnsi="Times New Roman"/>
                <w:bCs/>
                <w:sz w:val="18"/>
                <w:szCs w:val="18"/>
              </w:rPr>
              <w:t>i</w:t>
            </w:r>
            <w:r w:rsidRPr="00A96E09">
              <w:rPr>
                <w:rFonts w:ascii="Times New Roman" w:hAnsi="Times New Roman"/>
                <w:bCs/>
                <w:sz w:val="18"/>
                <w:szCs w:val="18"/>
                <w:lang w:val="ru-RU"/>
              </w:rPr>
              <w:t xml:space="preserve"> </w:t>
            </w:r>
            <w:r w:rsidRPr="00A96E09">
              <w:rPr>
                <w:rFonts w:ascii="Times New Roman" w:hAnsi="Times New Roman"/>
                <w:bCs/>
                <w:sz w:val="18"/>
                <w:szCs w:val="18"/>
              </w:rPr>
              <w:t>marja</w:t>
            </w:r>
            <w:r w:rsidRPr="00A96E09">
              <w:rPr>
                <w:rFonts w:ascii="Times New Roman" w:hAnsi="Times New Roman"/>
                <w:bCs/>
                <w:sz w:val="18"/>
                <w:szCs w:val="18"/>
                <w:lang w:val="ru-RU"/>
              </w:rPr>
              <w:t xml:space="preserve"> </w:t>
            </w:r>
            <w:r w:rsidRPr="00A96E09">
              <w:rPr>
                <w:rFonts w:ascii="Times New Roman" w:hAnsi="Times New Roman"/>
                <w:bCs/>
                <w:sz w:val="18"/>
                <w:szCs w:val="18"/>
              </w:rPr>
              <w:t>ini</w:t>
            </w:r>
            <w:r w:rsidRPr="00A96E09">
              <w:rPr>
                <w:rFonts w:ascii="Times New Roman" w:hAnsi="Times New Roman"/>
                <w:bCs/>
                <w:sz w:val="18"/>
                <w:szCs w:val="18"/>
                <w:lang w:val="ru-RU"/>
              </w:rPr>
              <w:t>ţ</w:t>
            </w:r>
            <w:r w:rsidRPr="00A96E09">
              <w:rPr>
                <w:rFonts w:ascii="Times New Roman" w:hAnsi="Times New Roman"/>
                <w:bCs/>
                <w:sz w:val="18"/>
                <w:szCs w:val="18"/>
              </w:rPr>
              <w:t>ial</w:t>
            </w:r>
            <w:r w:rsidRPr="00A96E09">
              <w:rPr>
                <w:rFonts w:ascii="Times New Roman" w:hAnsi="Times New Roman"/>
                <w:bCs/>
                <w:sz w:val="18"/>
                <w:szCs w:val="18"/>
                <w:lang w:val="ru-RU"/>
              </w:rPr>
              <w:t>ă;</w:t>
            </w:r>
          </w:p>
        </w:tc>
        <w:tc>
          <w:tcPr>
            <w:tcW w:w="4356" w:type="dxa"/>
          </w:tcPr>
          <w:p w14:paraId="56FA1DC1" w14:textId="22818E59" w:rsidR="005A16C7" w:rsidRPr="008070DB" w:rsidRDefault="005A16C7" w:rsidP="003456B0">
            <w:pPr>
              <w:tabs>
                <w:tab w:val="left" w:pos="540"/>
              </w:tabs>
              <w:ind w:left="-43"/>
              <w:jc w:val="both"/>
              <w:rPr>
                <w:color w:val="000000"/>
                <w:sz w:val="18"/>
                <w:szCs w:val="18"/>
                <w:lang w:val="ro-RO"/>
              </w:rPr>
            </w:pPr>
            <w:r w:rsidRPr="008070DB">
              <w:rPr>
                <w:i/>
                <w:iCs/>
                <w:color w:val="000000"/>
                <w:sz w:val="18"/>
                <w:szCs w:val="18"/>
                <w:lang w:val="ro-RO"/>
              </w:rPr>
              <w:t>expunere din tranzacţii</w:t>
            </w:r>
            <w:r w:rsidRPr="008070DB">
              <w:rPr>
                <w:color w:val="000000"/>
                <w:sz w:val="18"/>
                <w:szCs w:val="18"/>
                <w:lang w:val="ro-RO"/>
              </w:rPr>
              <w:t xml:space="preserve"> </w:t>
            </w:r>
            <w:r w:rsidR="00C14AF6" w:rsidRPr="008070DB">
              <w:rPr>
                <w:color w:val="000000"/>
                <w:sz w:val="18"/>
                <w:szCs w:val="18"/>
                <w:lang w:val="ro-RO"/>
              </w:rPr>
              <w:t>-</w:t>
            </w:r>
            <w:r w:rsidRPr="008070DB">
              <w:rPr>
                <w:color w:val="000000"/>
                <w:sz w:val="18"/>
                <w:szCs w:val="18"/>
                <w:lang w:val="ro-RO"/>
              </w:rPr>
              <w:t xml:space="preserve"> o expunere curentă incluzând o marjă de variaţie datorată membrului compensator, dar încă neprimită, și orice expunere viitoare potenţială a unui membru compensator sau a unui client la un CPC care rezultă din contractele și tranzacţiile enumerate la punctul 1</w:t>
            </w:r>
            <w:r w:rsidR="0093390D" w:rsidRPr="008070DB">
              <w:rPr>
                <w:color w:val="000000"/>
                <w:sz w:val="18"/>
                <w:szCs w:val="18"/>
                <w:lang w:val="ro-RO"/>
              </w:rPr>
              <w:t>2</w:t>
            </w:r>
            <w:r w:rsidR="00C14AF6" w:rsidRPr="008070DB">
              <w:rPr>
                <w:color w:val="000000"/>
                <w:sz w:val="18"/>
                <w:szCs w:val="18"/>
                <w:lang w:val="ro-RO"/>
              </w:rPr>
              <w:t>5</w:t>
            </w:r>
            <w:r w:rsidRPr="008070DB">
              <w:rPr>
                <w:color w:val="000000"/>
                <w:sz w:val="18"/>
                <w:szCs w:val="18"/>
                <w:lang w:val="ro-RO"/>
              </w:rPr>
              <w:t>, precum și marja iniţială;</w:t>
            </w:r>
          </w:p>
          <w:p w14:paraId="4A44B440" w14:textId="77777777" w:rsidR="005A16C7" w:rsidRPr="008070DB" w:rsidRDefault="005A16C7" w:rsidP="003456B0">
            <w:pPr>
              <w:tabs>
                <w:tab w:val="left" w:pos="540"/>
              </w:tabs>
              <w:ind w:left="-43"/>
              <w:jc w:val="both"/>
              <w:rPr>
                <w:color w:val="000000"/>
                <w:sz w:val="18"/>
                <w:szCs w:val="18"/>
                <w:lang w:val="ro-RO"/>
              </w:rPr>
            </w:pPr>
          </w:p>
        </w:tc>
        <w:tc>
          <w:tcPr>
            <w:tcW w:w="1554" w:type="dxa"/>
          </w:tcPr>
          <w:p w14:paraId="48C3D504" w14:textId="1016C074" w:rsidR="005A16C7" w:rsidRPr="00A96E09" w:rsidRDefault="005A16C7"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1BCFC529" w14:textId="77777777" w:rsidR="005A16C7" w:rsidRPr="00A96E09" w:rsidRDefault="005A16C7" w:rsidP="00C14AF6">
            <w:pPr>
              <w:rPr>
                <w:sz w:val="18"/>
                <w:szCs w:val="18"/>
                <w:lang w:val="ro-MD"/>
              </w:rPr>
            </w:pPr>
          </w:p>
        </w:tc>
      </w:tr>
      <w:tr w:rsidR="001A4DE8" w:rsidRPr="00EB7E01" w14:paraId="480965B8" w14:textId="77777777" w:rsidTr="00C14AF6">
        <w:trPr>
          <w:trHeight w:val="918"/>
        </w:trPr>
        <w:tc>
          <w:tcPr>
            <w:tcW w:w="3866" w:type="dxa"/>
          </w:tcPr>
          <w:p w14:paraId="6163191C" w14:textId="77777777" w:rsidR="001A4DE8" w:rsidRPr="00A96E09" w:rsidRDefault="001A4DE8" w:rsidP="003456B0">
            <w:pPr>
              <w:pStyle w:val="title-article-norm"/>
              <w:jc w:val="both"/>
              <w:rPr>
                <w:i w:val="0"/>
                <w:sz w:val="18"/>
                <w:szCs w:val="18"/>
                <w:lang w:val="ro-MD"/>
              </w:rPr>
            </w:pPr>
            <w:r w:rsidRPr="00A96E09">
              <w:rPr>
                <w:i w:val="0"/>
                <w:sz w:val="18"/>
                <w:szCs w:val="18"/>
                <w:lang w:val="ro-MD"/>
              </w:rPr>
              <w:t>CAPITOLUL 6</w:t>
            </w:r>
          </w:p>
          <w:p w14:paraId="561DBADD" w14:textId="31C72D86" w:rsidR="001A4DE8" w:rsidRPr="00A96E09" w:rsidRDefault="001A4DE8" w:rsidP="003456B0">
            <w:pPr>
              <w:pStyle w:val="CM4"/>
              <w:spacing w:after="120"/>
              <w:jc w:val="both"/>
              <w:rPr>
                <w:rFonts w:ascii="Times New Roman" w:hAnsi="Times New Roman"/>
                <w:b/>
                <w:sz w:val="18"/>
                <w:szCs w:val="18"/>
                <w:lang w:val="ro-MD"/>
              </w:rPr>
            </w:pPr>
            <w:r w:rsidRPr="00A96E09">
              <w:rPr>
                <w:rFonts w:ascii="Times New Roman" w:hAnsi="Times New Roman"/>
                <w:b/>
                <w:sz w:val="18"/>
                <w:szCs w:val="18"/>
                <w:lang w:val="ro-MD"/>
              </w:rPr>
              <w:t>Riscul de credit al contrapărții</w:t>
            </w:r>
          </w:p>
        </w:tc>
        <w:tc>
          <w:tcPr>
            <w:tcW w:w="4356" w:type="dxa"/>
          </w:tcPr>
          <w:p w14:paraId="4D969477" w14:textId="029AE9BE" w:rsidR="001A4DE8" w:rsidRPr="008070DB" w:rsidRDefault="001A4DE8" w:rsidP="003456B0">
            <w:pPr>
              <w:tabs>
                <w:tab w:val="left" w:pos="540"/>
              </w:tabs>
              <w:ind w:left="-43"/>
              <w:jc w:val="both"/>
              <w:rPr>
                <w:color w:val="000000"/>
                <w:sz w:val="18"/>
                <w:szCs w:val="18"/>
                <w:lang w:val="ro-MD"/>
              </w:rPr>
            </w:pPr>
            <w:r w:rsidRPr="008070DB">
              <w:rPr>
                <w:b/>
                <w:sz w:val="18"/>
                <w:szCs w:val="18"/>
                <w:lang w:val="ro-MD"/>
              </w:rPr>
              <w:t>Regulamentul cu privire la tratamentul riscului de credit al contrapărții pentru bănci</w:t>
            </w:r>
            <w:r w:rsidR="00976A5C" w:rsidRPr="008070DB">
              <w:rPr>
                <w:b/>
                <w:sz w:val="18"/>
                <w:szCs w:val="18"/>
                <w:lang w:val="ro-MD"/>
              </w:rPr>
              <w:t>, aprobat prin HCE al BNM nr.220/2025</w:t>
            </w:r>
          </w:p>
        </w:tc>
        <w:tc>
          <w:tcPr>
            <w:tcW w:w="1554" w:type="dxa"/>
          </w:tcPr>
          <w:p w14:paraId="24CA6D74" w14:textId="77777777" w:rsidR="001A4DE8" w:rsidRPr="00A96E09" w:rsidRDefault="001A4DE8" w:rsidP="00C14AF6">
            <w:pPr>
              <w:jc w:val="both"/>
              <w:rPr>
                <w:sz w:val="18"/>
                <w:szCs w:val="18"/>
                <w:lang w:val="ro-MD"/>
              </w:rPr>
            </w:pPr>
          </w:p>
        </w:tc>
        <w:tc>
          <w:tcPr>
            <w:tcW w:w="4683" w:type="dxa"/>
            <w:tcBorders>
              <w:top w:val="single" w:sz="4" w:space="0" w:color="auto"/>
              <w:bottom w:val="single" w:sz="4" w:space="0" w:color="auto"/>
            </w:tcBorders>
          </w:tcPr>
          <w:p w14:paraId="158A2A36" w14:textId="77777777" w:rsidR="001A4DE8" w:rsidRPr="00A96E09" w:rsidRDefault="001A4DE8" w:rsidP="00C14AF6">
            <w:pPr>
              <w:jc w:val="both"/>
              <w:rPr>
                <w:sz w:val="18"/>
                <w:szCs w:val="18"/>
                <w:lang w:val="ro-MD"/>
              </w:rPr>
            </w:pPr>
          </w:p>
        </w:tc>
      </w:tr>
      <w:tr w:rsidR="001A4DE8" w:rsidRPr="00A96E09" w14:paraId="7CB71B9B" w14:textId="77777777" w:rsidTr="00C14AF6">
        <w:trPr>
          <w:trHeight w:val="918"/>
        </w:trPr>
        <w:tc>
          <w:tcPr>
            <w:tcW w:w="3866" w:type="dxa"/>
          </w:tcPr>
          <w:p w14:paraId="0EB8C2F9" w14:textId="77777777" w:rsidR="001A4DE8" w:rsidRPr="00A96E09" w:rsidRDefault="001A4DE8" w:rsidP="003456B0">
            <w:pPr>
              <w:pStyle w:val="title-article-norm"/>
              <w:spacing w:before="0"/>
              <w:jc w:val="both"/>
              <w:rPr>
                <w:i w:val="0"/>
                <w:sz w:val="18"/>
                <w:szCs w:val="18"/>
                <w:lang w:val="ro-MD"/>
              </w:rPr>
            </w:pPr>
            <w:r w:rsidRPr="00A96E09">
              <w:rPr>
                <w:i w:val="0"/>
                <w:sz w:val="18"/>
                <w:szCs w:val="18"/>
                <w:lang w:val="ro-MD"/>
              </w:rPr>
              <w:t>Secțiunea 1</w:t>
            </w:r>
          </w:p>
          <w:p w14:paraId="611C8A85" w14:textId="77777777" w:rsidR="001A4DE8" w:rsidRPr="00A96E09" w:rsidRDefault="001A4DE8" w:rsidP="003456B0">
            <w:pPr>
              <w:pStyle w:val="title-article-norm"/>
              <w:spacing w:before="0"/>
              <w:jc w:val="both"/>
              <w:rPr>
                <w:i w:val="0"/>
                <w:sz w:val="18"/>
                <w:szCs w:val="18"/>
                <w:lang w:val="ro-MD"/>
              </w:rPr>
            </w:pPr>
            <w:r w:rsidRPr="00A96E09">
              <w:rPr>
                <w:i w:val="0"/>
                <w:sz w:val="18"/>
                <w:szCs w:val="18"/>
                <w:lang w:val="ro-MD"/>
              </w:rPr>
              <w:t>Definiții</w:t>
            </w:r>
          </w:p>
          <w:p w14:paraId="1EFAF5C6" w14:textId="77777777" w:rsidR="001A4DE8" w:rsidRPr="00A96E09" w:rsidRDefault="001A4DE8" w:rsidP="003456B0">
            <w:pPr>
              <w:pStyle w:val="title-article-norm"/>
              <w:spacing w:before="0"/>
              <w:jc w:val="both"/>
              <w:rPr>
                <w:i w:val="0"/>
                <w:sz w:val="18"/>
                <w:szCs w:val="18"/>
                <w:lang w:val="ro-MD"/>
              </w:rPr>
            </w:pPr>
            <w:r w:rsidRPr="00A96E09">
              <w:rPr>
                <w:sz w:val="18"/>
                <w:szCs w:val="18"/>
                <w:lang w:val="ro-MD"/>
              </w:rPr>
              <w:t>Articolul 271</w:t>
            </w:r>
            <w:r w:rsidRPr="00A96E09">
              <w:rPr>
                <w:i w:val="0"/>
                <w:sz w:val="18"/>
                <w:szCs w:val="18"/>
                <w:lang w:val="ro-MD"/>
              </w:rPr>
              <w:t xml:space="preserve"> </w:t>
            </w:r>
            <w:r w:rsidRPr="00A96E09">
              <w:rPr>
                <w:b/>
                <w:i w:val="0"/>
                <w:sz w:val="18"/>
                <w:szCs w:val="18"/>
                <w:lang w:val="ro-MD"/>
              </w:rPr>
              <w:t>Determinarea valorii expunerii</w:t>
            </w:r>
            <w:r w:rsidRPr="00A96E09">
              <w:rPr>
                <w:i w:val="0"/>
                <w:sz w:val="18"/>
                <w:szCs w:val="18"/>
                <w:lang w:val="ro-MD"/>
              </w:rPr>
              <w:t xml:space="preserve"> </w:t>
            </w:r>
          </w:p>
          <w:p w14:paraId="1CB35E29"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 O instituție trebuie să determine valoarea expunerii instrumentelor financiare derivate enumerate în anexa II în conformitate cu prezentul capitol. </w:t>
            </w:r>
          </w:p>
          <w:p w14:paraId="4425A1A0" w14:textId="77777777" w:rsidR="001A4DE8" w:rsidRPr="00A96E09" w:rsidRDefault="001A4DE8" w:rsidP="003456B0">
            <w:pPr>
              <w:pStyle w:val="CM4"/>
              <w:spacing w:after="120"/>
              <w:jc w:val="both"/>
              <w:rPr>
                <w:rFonts w:ascii="Times New Roman" w:hAnsi="Times New Roman"/>
                <w:b/>
                <w:sz w:val="18"/>
                <w:szCs w:val="18"/>
                <w:lang w:val="ro-MD"/>
              </w:rPr>
            </w:pPr>
          </w:p>
        </w:tc>
        <w:tc>
          <w:tcPr>
            <w:tcW w:w="4356" w:type="dxa"/>
          </w:tcPr>
          <w:p w14:paraId="28300B56" w14:textId="77777777" w:rsidR="001A4DE8" w:rsidRPr="008070DB" w:rsidRDefault="001A4DE8" w:rsidP="003456B0">
            <w:pPr>
              <w:pStyle w:val="CM4"/>
              <w:tabs>
                <w:tab w:val="left" w:pos="150"/>
              </w:tabs>
              <w:ind w:left="-43"/>
              <w:jc w:val="both"/>
              <w:rPr>
                <w:rFonts w:ascii="Times New Roman" w:hAnsi="Times New Roman"/>
                <w:i/>
                <w:iCs/>
                <w:sz w:val="18"/>
                <w:szCs w:val="18"/>
                <w:lang w:val="ro-MD"/>
              </w:rPr>
            </w:pPr>
            <w:r w:rsidRPr="008070DB">
              <w:rPr>
                <w:rFonts w:ascii="Times New Roman" w:hAnsi="Times New Roman"/>
                <w:i/>
                <w:iCs/>
                <w:sz w:val="18"/>
                <w:szCs w:val="18"/>
                <w:lang w:val="ro-MD"/>
              </w:rPr>
              <w:t>Secțiunea a 2-a</w:t>
            </w:r>
          </w:p>
          <w:p w14:paraId="562F9DCF" w14:textId="77777777" w:rsidR="001A4DE8" w:rsidRPr="008070DB" w:rsidRDefault="001A4DE8" w:rsidP="003456B0">
            <w:pPr>
              <w:pStyle w:val="CM4"/>
              <w:tabs>
                <w:tab w:val="left" w:pos="150"/>
              </w:tabs>
              <w:ind w:left="-43"/>
              <w:jc w:val="both"/>
              <w:rPr>
                <w:rFonts w:ascii="Times New Roman" w:hAnsi="Times New Roman"/>
                <w:b/>
                <w:bCs/>
                <w:sz w:val="18"/>
                <w:szCs w:val="18"/>
                <w:lang w:val="ro-MD"/>
              </w:rPr>
            </w:pPr>
            <w:r w:rsidRPr="008070DB">
              <w:rPr>
                <w:rFonts w:ascii="Times New Roman" w:hAnsi="Times New Roman"/>
                <w:b/>
                <w:bCs/>
                <w:sz w:val="18"/>
                <w:szCs w:val="18"/>
                <w:lang w:val="ro-MD"/>
              </w:rPr>
              <w:t>Metode de calcul al valorii expunerii</w:t>
            </w:r>
          </w:p>
          <w:p w14:paraId="72B63EC1" w14:textId="1B58E776" w:rsidR="001A4DE8" w:rsidRPr="008070DB" w:rsidRDefault="001A4DE8" w:rsidP="003456B0">
            <w:pPr>
              <w:tabs>
                <w:tab w:val="left" w:pos="540"/>
              </w:tabs>
              <w:ind w:left="-43"/>
              <w:jc w:val="both"/>
              <w:rPr>
                <w:color w:val="000000"/>
                <w:sz w:val="18"/>
                <w:szCs w:val="18"/>
                <w:lang w:val="ro-MD"/>
              </w:rPr>
            </w:pPr>
            <w:r w:rsidRPr="008070DB">
              <w:rPr>
                <w:b/>
                <w:bCs/>
                <w:sz w:val="18"/>
                <w:szCs w:val="18"/>
                <w:lang w:val="ro-MD"/>
              </w:rPr>
              <w:t>6.</w:t>
            </w:r>
            <w:r w:rsidRPr="008070DB">
              <w:rPr>
                <w:sz w:val="18"/>
                <w:szCs w:val="18"/>
                <w:lang w:val="ro-MD"/>
              </w:rPr>
              <w:t xml:space="preserve"> Banca calculează valoarea expunerii pentru contractele menţionate în anexa nr.1 la Regulamentul cu privire la tratamentul riscului de piaţă potrivit abordării standardizate, aprobat prin Hotărârea Comitetului executiv al Băncii Naționale a Moldovei nr. 114/2018 (în continuare – Regulamentul nr. 114/2018), pe baza uneia dintre metodele prevăzute în capitolele III-V şi în conformitate cu prezentul capitol.</w:t>
            </w:r>
          </w:p>
        </w:tc>
        <w:tc>
          <w:tcPr>
            <w:tcW w:w="1554" w:type="dxa"/>
          </w:tcPr>
          <w:p w14:paraId="549264D4" w14:textId="74B69E88" w:rsidR="001A4DE8" w:rsidRPr="00A96E09" w:rsidRDefault="001A4DE8"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31258706" w14:textId="77777777" w:rsidR="001A4DE8" w:rsidRPr="00A96E09" w:rsidRDefault="001A4DE8" w:rsidP="00C14AF6">
            <w:pPr>
              <w:jc w:val="both"/>
              <w:rPr>
                <w:sz w:val="18"/>
                <w:szCs w:val="18"/>
                <w:lang w:val="ro-MD"/>
              </w:rPr>
            </w:pPr>
          </w:p>
        </w:tc>
      </w:tr>
      <w:tr w:rsidR="001A4DE8" w:rsidRPr="00A96E09" w14:paraId="6D98FB3E" w14:textId="77777777" w:rsidTr="00C14AF6">
        <w:trPr>
          <w:trHeight w:val="918"/>
        </w:trPr>
        <w:tc>
          <w:tcPr>
            <w:tcW w:w="3866" w:type="dxa"/>
          </w:tcPr>
          <w:p w14:paraId="40309310" w14:textId="2195EDD1" w:rsidR="001A4DE8" w:rsidRPr="00A96E09" w:rsidRDefault="001A4DE8" w:rsidP="003456B0">
            <w:pPr>
              <w:pStyle w:val="CM4"/>
              <w:spacing w:after="120"/>
              <w:jc w:val="both"/>
              <w:rPr>
                <w:rFonts w:ascii="Times New Roman" w:hAnsi="Times New Roman"/>
                <w:b/>
                <w:sz w:val="18"/>
                <w:szCs w:val="18"/>
                <w:lang w:val="ro-MD"/>
              </w:rPr>
            </w:pPr>
            <w:r w:rsidRPr="00A96E09">
              <w:rPr>
                <w:rFonts w:ascii="Times New Roman" w:hAnsi="Times New Roman"/>
                <w:sz w:val="18"/>
                <w:szCs w:val="18"/>
                <w:lang w:val="ro-MD"/>
              </w:rPr>
              <w:t>(2) O instituție poate să determine valoarea expunerii tranzacțiilor de răscumpărare, a operațiunilor de dare sau luare de titluri sau mărfuri cu împrumut, a tranzacțiilor cu termen lung de decontare și a tranzacțiilor de creditare în marjă în conformitate cu prezentul capitol, în loc să utilizeze dispozițiile capitolului 4.</w:t>
            </w:r>
          </w:p>
        </w:tc>
        <w:tc>
          <w:tcPr>
            <w:tcW w:w="4356" w:type="dxa"/>
          </w:tcPr>
          <w:p w14:paraId="2286B62A" w14:textId="42E19CFA" w:rsidR="006A56AC" w:rsidRPr="008070DB" w:rsidRDefault="001A4DE8" w:rsidP="003456B0">
            <w:pPr>
              <w:tabs>
                <w:tab w:val="left" w:pos="540"/>
              </w:tabs>
              <w:ind w:left="-43"/>
              <w:jc w:val="both"/>
              <w:rPr>
                <w:sz w:val="18"/>
                <w:szCs w:val="18"/>
                <w:lang w:val="ro-MD"/>
              </w:rPr>
            </w:pPr>
            <w:bookmarkStart w:id="0" w:name="_Ref7013408"/>
            <w:r w:rsidRPr="008070DB">
              <w:rPr>
                <w:b/>
                <w:bCs/>
                <w:sz w:val="18"/>
                <w:szCs w:val="18"/>
                <w:lang w:val="ro-MD"/>
              </w:rPr>
              <w:t>4.</w:t>
            </w:r>
            <w:r w:rsidRPr="008070DB">
              <w:rPr>
                <w:sz w:val="18"/>
                <w:szCs w:val="18"/>
                <w:lang w:val="ro-MD" w:eastAsia="en-US"/>
              </w:rPr>
              <w:t xml:space="preserve"> </w:t>
            </w:r>
            <w:r w:rsidRPr="008070DB">
              <w:rPr>
                <w:sz w:val="18"/>
                <w:szCs w:val="18"/>
                <w:lang w:val="ro-MD"/>
              </w:rPr>
              <w:t xml:space="preserve">Banca </w:t>
            </w:r>
            <w:r w:rsidR="006A56AC" w:rsidRPr="008070DB">
              <w:rPr>
                <w:sz w:val="18"/>
                <w:szCs w:val="18"/>
                <w:lang w:val="ro-MD"/>
              </w:rPr>
              <w:t>este în drept să determine valoarea expunerii tranzacţiilor de răscumpărare, a operaţiunilor de dare sau luare de titluri sau mărfuri cu împrumut, a tranzacţiilor cu termen lung de decontare şi a tranzacţiilor de creditare în marjă în conformitate cu prezentul regulament, fără utilizarea dispoziţiilor Regulamentului nr.112/2018.</w:t>
            </w:r>
            <w:bookmarkEnd w:id="0"/>
          </w:p>
        </w:tc>
        <w:tc>
          <w:tcPr>
            <w:tcW w:w="1554" w:type="dxa"/>
          </w:tcPr>
          <w:p w14:paraId="25072B92" w14:textId="673FC7CA" w:rsidR="001A4DE8" w:rsidRPr="00A96E09" w:rsidRDefault="001A4DE8"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0F5ACED6" w14:textId="77777777" w:rsidR="001A4DE8" w:rsidRPr="00A96E09" w:rsidRDefault="001A4DE8" w:rsidP="00C14AF6">
            <w:pPr>
              <w:jc w:val="both"/>
              <w:rPr>
                <w:sz w:val="18"/>
                <w:szCs w:val="18"/>
                <w:lang w:val="ro-MD"/>
              </w:rPr>
            </w:pPr>
          </w:p>
        </w:tc>
      </w:tr>
      <w:tr w:rsidR="00261D5C" w:rsidRPr="00EB7E01" w14:paraId="2A4FFA55" w14:textId="77777777" w:rsidTr="00C14AF6">
        <w:trPr>
          <w:trHeight w:val="918"/>
        </w:trPr>
        <w:tc>
          <w:tcPr>
            <w:tcW w:w="3866" w:type="dxa"/>
          </w:tcPr>
          <w:p w14:paraId="17BC2640" w14:textId="77777777" w:rsidR="00261D5C" w:rsidRPr="00A96E09" w:rsidRDefault="00261D5C" w:rsidP="003456B0">
            <w:pPr>
              <w:pStyle w:val="CM4"/>
              <w:spacing w:after="120"/>
              <w:jc w:val="both"/>
              <w:rPr>
                <w:rFonts w:ascii="Times New Roman" w:hAnsi="Times New Roman"/>
                <w:sz w:val="18"/>
                <w:szCs w:val="18"/>
                <w:lang w:val="ro-MD"/>
              </w:rPr>
            </w:pPr>
          </w:p>
        </w:tc>
        <w:tc>
          <w:tcPr>
            <w:tcW w:w="4356" w:type="dxa"/>
          </w:tcPr>
          <w:p w14:paraId="31A77674" w14:textId="1FFAC4A1" w:rsidR="00261D5C" w:rsidRPr="008070DB" w:rsidRDefault="00261D5C" w:rsidP="003456B0">
            <w:pPr>
              <w:tabs>
                <w:tab w:val="left" w:pos="272"/>
              </w:tabs>
              <w:jc w:val="both"/>
              <w:rPr>
                <w:sz w:val="18"/>
                <w:szCs w:val="18"/>
                <w:lang w:val="ro-MD"/>
              </w:rPr>
            </w:pPr>
            <w:r w:rsidRPr="008070DB">
              <w:rPr>
                <w:b/>
                <w:bCs/>
                <w:sz w:val="18"/>
                <w:szCs w:val="18"/>
                <w:lang w:val="ro-MD"/>
              </w:rPr>
              <w:t xml:space="preserve">5. </w:t>
            </w:r>
            <w:r w:rsidRPr="008070DB">
              <w:rPr>
                <w:sz w:val="18"/>
                <w:szCs w:val="18"/>
                <w:lang w:val="ro-MD"/>
              </w:rPr>
              <w:t>În scopul evaluării riscului de credit al contrapărţii, valoarea expunerii instrumentelor financiare derivate se determină utilizând următoarele metode de calcul:</w:t>
            </w:r>
          </w:p>
          <w:p w14:paraId="00781F4E" w14:textId="2D818D90" w:rsidR="00261D5C" w:rsidRPr="008070DB" w:rsidRDefault="00261D5C" w:rsidP="003456B0">
            <w:pPr>
              <w:tabs>
                <w:tab w:val="left" w:pos="272"/>
              </w:tabs>
              <w:jc w:val="both"/>
              <w:rPr>
                <w:sz w:val="18"/>
                <w:szCs w:val="18"/>
                <w:lang w:val="ro-MD"/>
              </w:rPr>
            </w:pPr>
            <w:r w:rsidRPr="008070DB">
              <w:rPr>
                <w:sz w:val="18"/>
                <w:szCs w:val="18"/>
                <w:lang w:val="ro-MD"/>
              </w:rPr>
              <w:t>5.1. abordarea standardizată pentru riscul de credit al contrapărții;</w:t>
            </w:r>
          </w:p>
          <w:p w14:paraId="1B559AAD" w14:textId="3C2CAB23" w:rsidR="00261D5C" w:rsidRPr="008070DB" w:rsidRDefault="00261D5C" w:rsidP="003456B0">
            <w:pPr>
              <w:tabs>
                <w:tab w:val="left" w:pos="272"/>
              </w:tabs>
              <w:jc w:val="both"/>
              <w:rPr>
                <w:sz w:val="18"/>
                <w:szCs w:val="18"/>
                <w:lang w:val="ro-MD"/>
              </w:rPr>
            </w:pPr>
            <w:r w:rsidRPr="008070DB">
              <w:rPr>
                <w:sz w:val="18"/>
                <w:szCs w:val="18"/>
                <w:lang w:val="ro-MD"/>
              </w:rPr>
              <w:t>5.2. abordarea standardizată simplificată pentru riscul de credit al contrapărții;</w:t>
            </w:r>
          </w:p>
          <w:p w14:paraId="3E1BA030" w14:textId="2C58716B" w:rsidR="00261D5C" w:rsidRPr="008070DB" w:rsidRDefault="00261D5C" w:rsidP="003456B0">
            <w:pPr>
              <w:tabs>
                <w:tab w:val="left" w:pos="272"/>
              </w:tabs>
              <w:jc w:val="both"/>
              <w:rPr>
                <w:sz w:val="18"/>
                <w:szCs w:val="18"/>
                <w:lang w:val="ro-MD"/>
              </w:rPr>
            </w:pPr>
            <w:r w:rsidRPr="008070DB">
              <w:rPr>
                <w:sz w:val="18"/>
                <w:szCs w:val="18"/>
                <w:lang w:val="ro-MD"/>
              </w:rPr>
              <w:t>5.2. metoda expunerii iniţiale.</w:t>
            </w:r>
          </w:p>
          <w:p w14:paraId="28142B9C" w14:textId="77777777" w:rsidR="00261D5C" w:rsidRPr="008070DB" w:rsidRDefault="00261D5C" w:rsidP="003456B0">
            <w:pPr>
              <w:tabs>
                <w:tab w:val="left" w:pos="540"/>
              </w:tabs>
              <w:ind w:left="-43"/>
              <w:jc w:val="both"/>
              <w:rPr>
                <w:b/>
                <w:bCs/>
                <w:sz w:val="18"/>
                <w:szCs w:val="18"/>
                <w:lang w:val="ro-MD"/>
              </w:rPr>
            </w:pPr>
          </w:p>
        </w:tc>
        <w:tc>
          <w:tcPr>
            <w:tcW w:w="1554" w:type="dxa"/>
          </w:tcPr>
          <w:p w14:paraId="28D9C8A7" w14:textId="77777777" w:rsidR="00261D5C" w:rsidRPr="00A96E09" w:rsidRDefault="00261D5C" w:rsidP="00C14AF6">
            <w:pPr>
              <w:jc w:val="both"/>
              <w:rPr>
                <w:sz w:val="18"/>
                <w:szCs w:val="18"/>
                <w:lang w:val="ro-MD"/>
              </w:rPr>
            </w:pPr>
          </w:p>
        </w:tc>
        <w:tc>
          <w:tcPr>
            <w:tcW w:w="4683" w:type="dxa"/>
            <w:tcBorders>
              <w:top w:val="single" w:sz="4" w:space="0" w:color="auto"/>
              <w:bottom w:val="single" w:sz="4" w:space="0" w:color="auto"/>
            </w:tcBorders>
          </w:tcPr>
          <w:p w14:paraId="7BD84CE0" w14:textId="3BB59269" w:rsidR="00261D5C" w:rsidRPr="00A96E09" w:rsidRDefault="00261D5C" w:rsidP="00C14AF6">
            <w:pPr>
              <w:jc w:val="both"/>
              <w:rPr>
                <w:sz w:val="18"/>
                <w:szCs w:val="18"/>
                <w:lang w:val="ro-MD"/>
              </w:rPr>
            </w:pPr>
            <w:r w:rsidRPr="00A96E09">
              <w:rPr>
                <w:sz w:val="18"/>
                <w:szCs w:val="18"/>
                <w:lang w:val="ro-MD"/>
              </w:rPr>
              <w:t xml:space="preserve">Prevedere națională întocmită pentru oferirea clarității și transparenței aferente metodelor acceptate și </w:t>
            </w:r>
            <w:r w:rsidRPr="00261D5C">
              <w:rPr>
                <w:sz w:val="18"/>
                <w:szCs w:val="18"/>
                <w:lang w:val="ro-MD" w:eastAsia="ro-MD"/>
              </w:rPr>
              <w:t>modul în care trebuie aplicate, evitând interpretări diferite sau ambigue.</w:t>
            </w:r>
            <w:r w:rsidRPr="00A96E09">
              <w:rPr>
                <w:sz w:val="18"/>
                <w:szCs w:val="18"/>
                <w:lang w:val="ro-MD"/>
              </w:rPr>
              <w:t xml:space="preserve">  </w:t>
            </w:r>
          </w:p>
          <w:p w14:paraId="03FF49E7" w14:textId="77777777" w:rsidR="00261D5C" w:rsidRPr="00A96E09" w:rsidRDefault="00261D5C" w:rsidP="00C14AF6">
            <w:pPr>
              <w:jc w:val="both"/>
              <w:rPr>
                <w:sz w:val="18"/>
                <w:szCs w:val="18"/>
                <w:lang w:val="ro-MD"/>
              </w:rPr>
            </w:pPr>
          </w:p>
          <w:p w14:paraId="45F3855C" w14:textId="787DC8C6" w:rsidR="00261D5C" w:rsidRPr="00A96E09" w:rsidRDefault="00261D5C" w:rsidP="00261D5C">
            <w:pPr>
              <w:spacing w:before="100" w:beforeAutospacing="1" w:after="100" w:afterAutospacing="1"/>
              <w:rPr>
                <w:sz w:val="18"/>
                <w:szCs w:val="18"/>
                <w:lang w:val="ro-MD"/>
              </w:rPr>
            </w:pPr>
          </w:p>
        </w:tc>
      </w:tr>
      <w:tr w:rsidR="001A4DE8" w:rsidRPr="004B3B1E" w14:paraId="7463B36B" w14:textId="77777777" w:rsidTr="00C14AF6">
        <w:trPr>
          <w:trHeight w:val="918"/>
        </w:trPr>
        <w:tc>
          <w:tcPr>
            <w:tcW w:w="3866" w:type="dxa"/>
          </w:tcPr>
          <w:p w14:paraId="14E0904A" w14:textId="77777777" w:rsidR="001A4DE8" w:rsidRPr="00A96E09" w:rsidRDefault="001A4DE8" w:rsidP="003456B0">
            <w:pPr>
              <w:pStyle w:val="title-article-norm"/>
              <w:jc w:val="both"/>
              <w:rPr>
                <w:i w:val="0"/>
                <w:sz w:val="18"/>
                <w:szCs w:val="18"/>
                <w:lang w:val="ro-MD"/>
              </w:rPr>
            </w:pPr>
            <w:r w:rsidRPr="00A96E09">
              <w:rPr>
                <w:sz w:val="18"/>
                <w:szCs w:val="18"/>
                <w:lang w:val="ro-MD"/>
              </w:rPr>
              <w:t>Articolul 272</w:t>
            </w:r>
            <w:r w:rsidRPr="00A96E09">
              <w:rPr>
                <w:i w:val="0"/>
                <w:sz w:val="18"/>
                <w:szCs w:val="18"/>
                <w:lang w:val="ro-MD"/>
              </w:rPr>
              <w:t xml:space="preserve"> </w:t>
            </w:r>
            <w:r w:rsidRPr="00A96E09">
              <w:rPr>
                <w:b/>
                <w:i w:val="0"/>
                <w:sz w:val="18"/>
                <w:szCs w:val="18"/>
                <w:lang w:val="ro-MD"/>
              </w:rPr>
              <w:t xml:space="preserve">Definiții </w:t>
            </w:r>
          </w:p>
          <w:p w14:paraId="060C1CAF"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În sensul prezentului capitol și al titlului VI de la prezenta parte, se aplică următoarele definiții: </w:t>
            </w:r>
          </w:p>
          <w:p w14:paraId="19B52916"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Termeni generali </w:t>
            </w:r>
          </w:p>
          <w:p w14:paraId="55F5FDB8" w14:textId="77777777" w:rsidR="001A4DE8" w:rsidRPr="00A96E09" w:rsidRDefault="001A4DE8" w:rsidP="003456B0">
            <w:pPr>
              <w:pStyle w:val="title-article-norm"/>
              <w:numPr>
                <w:ilvl w:val="0"/>
                <w:numId w:val="7"/>
              </w:numPr>
              <w:tabs>
                <w:tab w:val="left" w:pos="192"/>
              </w:tabs>
              <w:ind w:left="0" w:firstLine="0"/>
              <w:jc w:val="both"/>
              <w:rPr>
                <w:i w:val="0"/>
                <w:sz w:val="18"/>
                <w:szCs w:val="18"/>
                <w:lang w:val="ro-MD"/>
              </w:rPr>
            </w:pPr>
            <w:r w:rsidRPr="00A96E09">
              <w:rPr>
                <w:i w:val="0"/>
                <w:sz w:val="18"/>
                <w:szCs w:val="18"/>
                <w:lang w:val="ro-MD"/>
              </w:rPr>
              <w:t>„risc de credit al contrapărții” (CCR) înseamnă riscul ca o contraparte la o tranzacție să intre în stare de nerambursare înainte de decontarea finală a fluxurilor de numerar aferente tranzacției;</w:t>
            </w:r>
          </w:p>
          <w:p w14:paraId="591355AE"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Tipuri de tranzacții </w:t>
            </w:r>
          </w:p>
          <w:p w14:paraId="55CAEC3F" w14:textId="77777777" w:rsidR="001A4DE8" w:rsidRPr="00A96E09" w:rsidRDefault="001A4DE8" w:rsidP="003456B0">
            <w:pPr>
              <w:pStyle w:val="title-article-norm"/>
              <w:jc w:val="both"/>
              <w:rPr>
                <w:i w:val="0"/>
                <w:sz w:val="18"/>
                <w:szCs w:val="18"/>
                <w:lang w:val="ro-MD"/>
              </w:rPr>
            </w:pPr>
            <w:r w:rsidRPr="00A96E09">
              <w:rPr>
                <w:i w:val="0"/>
                <w:sz w:val="18"/>
                <w:szCs w:val="18"/>
                <w:lang w:val="ro-MD"/>
              </w:rPr>
              <w:t>2. „tranzacții cu termen lung de decontare” înseamnă tranzacții în care o contraparte se angajează să livreze un titlu, o marfă sau o sumă în valută contra numerar, alte instrumente financiare sau mărfuri, sau invers, la o dată de decontare sau de livrare, specificată prin contract, care depășește durata standard pe piață pentru acest tip particular de tranzacție sau cinci zile lucrătoare de la data la care instituția a intrat în tranzacție, dacă această a doua durată este mai scurtă;</w:t>
            </w:r>
          </w:p>
          <w:p w14:paraId="64D60646"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3. „tranzacții de creditare în marjă” înseamnă tranzacții în care o instituție acordă credit în legătură cu achiziționarea, vânzarea, deținerea sau tranzacționarea de titluri. Tranzacțiile de creditare </w:t>
            </w:r>
            <w:r w:rsidRPr="00A96E09">
              <w:rPr>
                <w:i w:val="0"/>
                <w:sz w:val="18"/>
                <w:szCs w:val="18"/>
                <w:lang w:val="ro-MD"/>
              </w:rPr>
              <w:lastRenderedPageBreak/>
              <w:t xml:space="preserve">în marjă nu includ alte împrumuturi care sunt acoperite cu garanții reale sub formă de titluri; </w:t>
            </w:r>
          </w:p>
          <w:p w14:paraId="01BBA006" w14:textId="77777777" w:rsidR="001A4DE8" w:rsidRPr="00A96E09" w:rsidRDefault="001A4DE8" w:rsidP="003456B0">
            <w:pPr>
              <w:pStyle w:val="title-article-norm"/>
              <w:jc w:val="both"/>
              <w:rPr>
                <w:i w:val="0"/>
                <w:sz w:val="18"/>
                <w:szCs w:val="18"/>
                <w:lang w:val="ro-MD"/>
              </w:rPr>
            </w:pPr>
            <w:r w:rsidRPr="00A96E09">
              <w:rPr>
                <w:i w:val="0"/>
                <w:sz w:val="18"/>
                <w:szCs w:val="18"/>
                <w:lang w:val="ro-MD"/>
              </w:rPr>
              <w:t>Seturi de compensare, seturi de acoperire a riscului și termeni conecși</w:t>
            </w:r>
          </w:p>
          <w:p w14:paraId="15F6AB92" w14:textId="77777777" w:rsidR="001A4DE8" w:rsidRPr="00A96E09" w:rsidRDefault="001A4DE8" w:rsidP="003456B0">
            <w:pPr>
              <w:pStyle w:val="title-article-norm"/>
              <w:numPr>
                <w:ilvl w:val="0"/>
                <w:numId w:val="8"/>
              </w:numPr>
              <w:tabs>
                <w:tab w:val="left" w:pos="192"/>
              </w:tabs>
              <w:ind w:left="0" w:firstLine="0"/>
              <w:jc w:val="both"/>
              <w:rPr>
                <w:i w:val="0"/>
                <w:sz w:val="18"/>
                <w:szCs w:val="18"/>
                <w:lang w:val="ro-MD"/>
              </w:rPr>
            </w:pPr>
            <w:r w:rsidRPr="00A96E09">
              <w:rPr>
                <w:i w:val="0"/>
                <w:sz w:val="18"/>
                <w:szCs w:val="18"/>
                <w:lang w:val="ro-MD"/>
              </w:rPr>
              <w:t xml:space="preserve">„set de compensare” înseamnă un grup de tranzacții între o instituție și o singură contraparte, care face obiectul unui acord de compensare bilaterală executoriu din punct de vedere juridic și recunoscut în conformitate cu secțiunea 7 și cu capitolul 4. </w:t>
            </w:r>
          </w:p>
          <w:p w14:paraId="3320CC05" w14:textId="77777777" w:rsidR="001A4DE8" w:rsidRPr="00A96E09" w:rsidRDefault="001A4DE8" w:rsidP="003456B0">
            <w:pPr>
              <w:pStyle w:val="title-article-norm"/>
              <w:tabs>
                <w:tab w:val="left" w:pos="192"/>
              </w:tabs>
              <w:jc w:val="both"/>
              <w:rPr>
                <w:i w:val="0"/>
                <w:sz w:val="18"/>
                <w:szCs w:val="18"/>
                <w:lang w:val="ro-MD"/>
              </w:rPr>
            </w:pPr>
            <w:r w:rsidRPr="00A96E09">
              <w:rPr>
                <w:i w:val="0"/>
                <w:sz w:val="18"/>
                <w:szCs w:val="18"/>
                <w:lang w:val="ro-MD"/>
              </w:rPr>
              <w:t xml:space="preserve">Orice tranzacție care nu face obiectul unui acord de compensare bilaterală executoriu din punct de vedere juridic și recunoscut în conformitate cu secțiunea 7 trebuie tratată ca fiind ea însăși un set de compensare în sensul prezentului capitol. </w:t>
            </w:r>
          </w:p>
          <w:p w14:paraId="0C3FAD58" w14:textId="77777777" w:rsidR="001A4DE8" w:rsidRPr="00A96E09" w:rsidRDefault="001A4DE8" w:rsidP="003456B0">
            <w:pPr>
              <w:pStyle w:val="title-article-norm"/>
              <w:tabs>
                <w:tab w:val="left" w:pos="192"/>
              </w:tabs>
              <w:jc w:val="both"/>
              <w:rPr>
                <w:i w:val="0"/>
                <w:sz w:val="18"/>
                <w:szCs w:val="18"/>
                <w:lang w:val="ro-MD"/>
              </w:rPr>
            </w:pPr>
            <w:r w:rsidRPr="00A96E09">
              <w:rPr>
                <w:i w:val="0"/>
                <w:sz w:val="18"/>
                <w:szCs w:val="18"/>
                <w:lang w:val="ro-MD"/>
              </w:rPr>
              <w:t xml:space="preserve">În cadrul metodei modelului intern prevăzută în secțiunea 6, toate seturile de compensare cu o singură contraparte pot fi tratate ca un singur set de compensare, dacă valorile de piață simulate negative ale fiecărui set de compensare sunt stabilite la 0 în estimarea expunerii așteptate (EE); </w:t>
            </w:r>
          </w:p>
          <w:p w14:paraId="01E9AE10"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5. „poziție de risc” înseamnă o valoare de risc care este atribuită unei tranzacții, pe baza unui algoritm predeterminat, în cadrul metodei standardizate prevăzute în secțiunea 5; </w:t>
            </w:r>
          </w:p>
          <w:p w14:paraId="7CC74BEA" w14:textId="77777777" w:rsidR="001A4DE8" w:rsidRPr="00A96E09" w:rsidRDefault="001A4DE8" w:rsidP="003456B0">
            <w:pPr>
              <w:pStyle w:val="title-article-norm"/>
              <w:jc w:val="both"/>
              <w:rPr>
                <w:i w:val="0"/>
                <w:sz w:val="18"/>
                <w:szCs w:val="18"/>
                <w:lang w:val="ro-MD"/>
              </w:rPr>
            </w:pPr>
            <w:r w:rsidRPr="00A96E09">
              <w:rPr>
                <w:i w:val="0"/>
                <w:sz w:val="18"/>
                <w:szCs w:val="18"/>
                <w:lang w:val="ro-MD"/>
              </w:rPr>
              <w:t>6. „set de acoperire a riscului” înseamnă un grup de tranzacţii din cadrul unui singur set de compensare în cazul căruia compensarea integrală sau parţială este autorizată pentru determinarea expunerii viitoare potenţiale în conformitate cu metodele prevăzute în secţiunea 3 sau 4 din prezentul capitol;</w:t>
            </w:r>
          </w:p>
          <w:p w14:paraId="04B84161" w14:textId="77777777" w:rsidR="001A4DE8" w:rsidRPr="00A96E09" w:rsidRDefault="001A4DE8" w:rsidP="003456B0">
            <w:pPr>
              <w:pStyle w:val="title-article-norm"/>
              <w:jc w:val="both"/>
              <w:rPr>
                <w:i w:val="0"/>
                <w:sz w:val="18"/>
                <w:szCs w:val="18"/>
                <w:lang w:val="ro-MD"/>
              </w:rPr>
            </w:pPr>
            <w:r w:rsidRPr="00A96E09">
              <w:rPr>
                <w:i w:val="0"/>
                <w:sz w:val="18"/>
                <w:szCs w:val="18"/>
                <w:lang w:val="ro-MD"/>
              </w:rPr>
              <w:lastRenderedPageBreak/>
              <w:t>7. „contract în marjă” înseamnă un acord sau dispozițiile unui acord, conform căruia o contraparte trebuie să furnizeze garanții reale unei a doua contrapărți, atunci când o expunere a celei de-a doua contrapărți față de prima contraparte depășește un nivel specificat;</w:t>
            </w:r>
          </w:p>
          <w:p w14:paraId="2BB0E9E6" w14:textId="385C6848" w:rsidR="001A4DE8" w:rsidRPr="00A96E09" w:rsidRDefault="001A4DE8" w:rsidP="003456B0">
            <w:pPr>
              <w:pStyle w:val="title-article-norm"/>
              <w:jc w:val="both"/>
              <w:rPr>
                <w:i w:val="0"/>
                <w:sz w:val="18"/>
                <w:szCs w:val="18"/>
                <w:lang w:val="ro-MD"/>
              </w:rPr>
            </w:pPr>
            <w:r w:rsidRPr="00A96E09">
              <w:rPr>
                <w:i w:val="0"/>
                <w:sz w:val="18"/>
                <w:szCs w:val="18"/>
                <w:lang w:val="ro-MD"/>
              </w:rPr>
              <w:t xml:space="preserve">8. „prag de marjă” înseamnă cel mai mare cuantum pe care îl poate atinge o expunere în curs, înainte ca o parte să aibă dreptul să solicite garanții reale; </w:t>
            </w:r>
          </w:p>
          <w:p w14:paraId="3D09F738"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9. „perioadă de risc de marjă” înseamnă perioada de la ultimul schimb de garanții reale care acoperă un set de compensare de tranzacții cu o contraparte aflată în stare de nerambursare până la momentul la care tranzacțiile sunt închise și riscul de piață rezultat face obiectul unei noi acoperiri; </w:t>
            </w:r>
          </w:p>
          <w:p w14:paraId="425DF0F1"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10. „scadență efectivă” conform metodei modelului intern pentru un set de compensare cu scadența mai mare de un an înseamnă raportul dintre suma expunerilor așteptate pe durata de viață a tranzacțiilor din setul de compensare, actualizată cu rata randamentului fără risc, și suma expunerilor așteptate pe durata unui an în setul de compensare, actualizată cu rata randamentului fără risc. Scadența efectivă poate fi ajustată pentru a ține seama de riscul de reînnoire, prin înlocuirea expunerii așteptate cu expunerea așteptată efectivă pentru orizonturi de previzionare mai mici de un an; </w:t>
            </w:r>
          </w:p>
          <w:p w14:paraId="28F11FF9"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11. „compensare între produse diferite” înseamnă includerea, în același set de compensare, a unor tranzacții privind categorii diferite de produse, în conformitate cu normele de compensare între produse diferite, stabilite în prezentul capitol; </w:t>
            </w:r>
          </w:p>
          <w:p w14:paraId="456465CE"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12. „valoarea de piață curentă” sau „CMV” înseamnă valoarea netă de piaţă a tuturor </w:t>
            </w:r>
            <w:r w:rsidRPr="00A96E09">
              <w:rPr>
                <w:i w:val="0"/>
                <w:sz w:val="18"/>
                <w:szCs w:val="18"/>
                <w:lang w:val="ro-MD"/>
              </w:rPr>
              <w:lastRenderedPageBreak/>
              <w:t xml:space="preserve">tranzacţiilor din cadrul unui set de compensare înainte de deducerea oricărei garanţii reale deţinute sau furnizate, valorile de piaţă pozitive fiind compensate cu cele negative la calcularea CMV;  </w:t>
            </w:r>
          </w:p>
          <w:p w14:paraId="37A25B37" w14:textId="77777777" w:rsidR="001A4DE8" w:rsidRPr="00A96E09" w:rsidRDefault="001A4DE8" w:rsidP="003456B0">
            <w:pPr>
              <w:pStyle w:val="title-article-norm"/>
              <w:jc w:val="both"/>
              <w:rPr>
                <w:i w:val="0"/>
                <w:sz w:val="18"/>
                <w:szCs w:val="18"/>
                <w:lang w:val="ro-MD"/>
              </w:rPr>
            </w:pPr>
            <w:r w:rsidRPr="00A96E09">
              <w:rPr>
                <w:i w:val="0"/>
                <w:sz w:val="18"/>
                <w:szCs w:val="18"/>
                <w:lang w:val="ro-MD"/>
              </w:rPr>
              <w:t>12a. „suma independentă netă a garanţiilor reale” sau „NICA” înseamnă suma valorilor ajustate în funcţie de volatilitate ale garanţiilor reale nete primite sau furnizate, după caz, în cadrul setului de compensare, altele decât marja de variaţie;</w:t>
            </w:r>
          </w:p>
          <w:p w14:paraId="6A921C7A"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Distribuții </w:t>
            </w:r>
          </w:p>
          <w:p w14:paraId="025B69D0"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13. „distribuția valorilor de piață” înseamnă distribuția de probabilitate previzionată a valorilor de piață nete ale tranzacțiilor din cadrul unui set de compensare la o dată viitoare (orizont de previzionare), pe baza valorilor de piață realizate ale tranzacțiilor respective la data previzionării; </w:t>
            </w:r>
          </w:p>
          <w:p w14:paraId="07F6FCD9"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14. „distribuția expunerilor” înseamnă distribuția de probabilitate previzionată a valorilor de piață, care se obține dacă valorile de piață nete negative previzionate se stabilesc la 0; </w:t>
            </w:r>
          </w:p>
          <w:p w14:paraId="294ED1B9" w14:textId="77777777" w:rsidR="001A4DE8" w:rsidRPr="00A96E09" w:rsidRDefault="001A4DE8" w:rsidP="003456B0">
            <w:pPr>
              <w:pStyle w:val="title-article-norm"/>
              <w:jc w:val="both"/>
              <w:rPr>
                <w:i w:val="0"/>
                <w:sz w:val="18"/>
                <w:szCs w:val="18"/>
                <w:lang w:val="ro-MD"/>
              </w:rPr>
            </w:pPr>
            <w:r w:rsidRPr="00A96E09">
              <w:rPr>
                <w:i w:val="0"/>
                <w:sz w:val="18"/>
                <w:szCs w:val="18"/>
                <w:lang w:val="ro-MD"/>
              </w:rPr>
              <w:t>15. „distribuția neutră la risc” înseamnă o distribuție a valorilor de piață sau a expunerilor pe o perioadă viitoare, calculată pe baza valorilor de piață implicite, precum volatilitățile implicite;</w:t>
            </w:r>
          </w:p>
          <w:p w14:paraId="4FD07C37"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16. „distribuție efectivă” înseamnă o distribuție a valorilor de piață sau a expunerilor pe o perioadă viitoare, calculată pe baza valorilor istorice sau realizate, precum volatilitățile calculate pe baza variațiilor înregistrate în trecut ale prețurilor sau ratelor; </w:t>
            </w:r>
          </w:p>
          <w:p w14:paraId="0C3A28A8"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Măsurări și ajustări ale expunerii </w:t>
            </w:r>
          </w:p>
          <w:p w14:paraId="2E366895" w14:textId="77777777" w:rsidR="001A4DE8" w:rsidRPr="00A96E09" w:rsidRDefault="001A4DE8" w:rsidP="003456B0">
            <w:pPr>
              <w:pStyle w:val="title-article-norm"/>
              <w:jc w:val="both"/>
              <w:rPr>
                <w:i w:val="0"/>
                <w:sz w:val="18"/>
                <w:szCs w:val="18"/>
                <w:lang w:val="ro-MD"/>
              </w:rPr>
            </w:pPr>
            <w:r w:rsidRPr="00A96E09">
              <w:rPr>
                <w:i w:val="0"/>
                <w:sz w:val="18"/>
                <w:szCs w:val="18"/>
                <w:lang w:val="ro-MD"/>
              </w:rPr>
              <w:lastRenderedPageBreak/>
              <w:t xml:space="preserve">17. „expunere curentă” este valoarea mai mare dintre zero și valoarea de piață a unei tranzacții sau a unui portofoliu de tranzacții din cadrul unui set de compensare cu o contraparte, care s-ar pierde prin intrarea contrapărții în stare de nerambursare, presupunând că valoarea tranzacțiilor respective nu poate fi recuperată, nici parțial, în caz de insolvență sau de lichidare; </w:t>
            </w:r>
          </w:p>
          <w:p w14:paraId="7856F4C4"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18. „expunere maximă” înseamnă o centilă superioară a distribuției expunerilor la o anumită dată viitoare, anterioară datei scadenței tranzacției cu cea mai lungă durată din setul de compensare; </w:t>
            </w:r>
          </w:p>
          <w:p w14:paraId="3AF8FED6"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19. „expunere așteptată” (EE) înseamnă media distribuției expunerilor, la o anumită dată viitoare, înainte de data scadenței tranzacției cu cea mai lungă durată din setul de compensare; </w:t>
            </w:r>
          </w:p>
          <w:p w14:paraId="7D55267D"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20. „expunere așteptată efectivă la o dată specifică” (denumită în continuare „EE efectivă”) este valoarea maximă a expunerii așteptate din data respectivă sau din orice dată anterioară. Expunerea așteptată efectivă la o dată specifică se mai poate, de asemenea, defini ca valoarea mai mare dintre expunerea așteptată la data respectivă și expunerea așteptată efectivă la orice dată anterioară; </w:t>
            </w:r>
          </w:p>
          <w:p w14:paraId="46B285F1"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21. „expunerea pozitivă așteptată” (EPE) înseamnă media ponderată în timp a expunerilor așteptate, în care ponderile sunt proporțiile din întreaga perioadă care corespund fiecărei expuneri așteptate. </w:t>
            </w:r>
          </w:p>
          <w:p w14:paraId="49C94432"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La calculul cerinței de fonduri proprii, instituțiile utilizează media pe primul an sau, dacă toate contractele din setul de compensare ajung la scadență în mai puțin de un an, pe durata în care </w:t>
            </w:r>
            <w:r w:rsidRPr="00A96E09">
              <w:rPr>
                <w:i w:val="0"/>
                <w:sz w:val="18"/>
                <w:szCs w:val="18"/>
                <w:lang w:val="ro-MD"/>
              </w:rPr>
              <w:lastRenderedPageBreak/>
              <w:t xml:space="preserve">contractul cu cea mai mare scadență din setul de compensare ajunge la scadență; </w:t>
            </w:r>
          </w:p>
          <w:p w14:paraId="4949FD3E" w14:textId="77777777" w:rsidR="001A4DE8" w:rsidRPr="00A96E09" w:rsidRDefault="001A4DE8" w:rsidP="003456B0">
            <w:pPr>
              <w:pStyle w:val="title-article-norm"/>
              <w:jc w:val="both"/>
              <w:rPr>
                <w:i w:val="0"/>
                <w:sz w:val="18"/>
                <w:szCs w:val="18"/>
                <w:lang w:val="ro-MD"/>
              </w:rPr>
            </w:pPr>
            <w:r w:rsidRPr="00A96E09">
              <w:rPr>
                <w:i w:val="0"/>
                <w:sz w:val="18"/>
                <w:szCs w:val="18"/>
                <w:lang w:val="ro-MD"/>
              </w:rPr>
              <w:t>22. „expunerea pozitivă așteptată efectivă” (denumită în continuare „EPE efectivă”) înseamnă media ponderată a expunerilor așteptate efective pe primul an al unui set de compensare sau, dacă toate contractele din setul de compensare ajung la scadență în mai puțin de un an, pe durata contractului cu cea mai mare scadență din setul de compensare, în care ponderile sunt proporțiile din întreaga perioadă care corespund fiecărei expuneri așteptate;</w:t>
            </w:r>
          </w:p>
          <w:p w14:paraId="36850D83"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Riscuri asociate CCR </w:t>
            </w:r>
          </w:p>
          <w:p w14:paraId="29643A33"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23. „risc de reînnoire” înseamnă măsura în care expunerea pozitivă așteptată este subestimată, atunci când se prevede că tranzacțiile viitoare cu o contraparte se vor desfășura în mod continuu. </w:t>
            </w:r>
          </w:p>
          <w:p w14:paraId="051987AE"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Expunerea suplimentară generată de aceste tranzacții viitoare nu se include în calculul expunerii pozitive așteptate; </w:t>
            </w:r>
          </w:p>
          <w:p w14:paraId="3F76C6D3"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24. „contraparte” în sensul secțiunii 7 înseamnă orice persoană juridică sau fizică care participă la un acord de compensare și are capacitatea contractuală necesară în acest sens; </w:t>
            </w:r>
          </w:p>
          <w:p w14:paraId="4AB6515C" w14:textId="77777777" w:rsidR="001A4DE8" w:rsidRPr="00A96E09" w:rsidRDefault="001A4DE8" w:rsidP="003456B0">
            <w:pPr>
              <w:pStyle w:val="title-article-norm"/>
              <w:jc w:val="both"/>
              <w:rPr>
                <w:i w:val="0"/>
                <w:sz w:val="18"/>
                <w:szCs w:val="18"/>
                <w:lang w:val="ro-MD"/>
              </w:rPr>
            </w:pPr>
            <w:r w:rsidRPr="00A96E09">
              <w:rPr>
                <w:i w:val="0"/>
                <w:sz w:val="18"/>
                <w:szCs w:val="18"/>
                <w:lang w:val="ro-MD"/>
              </w:rPr>
              <w:t>25. „acord de compensare contractuală între produse diferite” înseamnă un acord contractual bilateral între o instituție și o contraparte, care creează o obligație juridică unică (pe baza compensării tranzacțiilor acoperite) ce acoperă toate acordurile-cadru bilaterale și toate tranzacțiile privind diferite categorii de produse, incluse în acest acord.</w:t>
            </w:r>
          </w:p>
          <w:p w14:paraId="4F5C25EA" w14:textId="77777777" w:rsidR="001A4DE8" w:rsidRPr="00A96E09" w:rsidRDefault="001A4DE8" w:rsidP="003456B0">
            <w:pPr>
              <w:pStyle w:val="title-article-norm"/>
              <w:jc w:val="both"/>
              <w:rPr>
                <w:i w:val="0"/>
                <w:sz w:val="18"/>
                <w:szCs w:val="18"/>
                <w:lang w:val="ro-MD"/>
              </w:rPr>
            </w:pPr>
            <w:r w:rsidRPr="00A96E09">
              <w:rPr>
                <w:i w:val="0"/>
                <w:sz w:val="18"/>
                <w:szCs w:val="18"/>
                <w:lang w:val="ro-MD"/>
              </w:rPr>
              <w:lastRenderedPageBreak/>
              <w:t xml:space="preserve">În sensul prezentei definiții, „categorii diferite de produse” înseamnă: </w:t>
            </w:r>
          </w:p>
          <w:p w14:paraId="1D2766A4"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(a) tranzacții de răscumpărare, operațiuni de dare și luare de titluri și mărfuri cu împrumut; </w:t>
            </w:r>
          </w:p>
          <w:p w14:paraId="0B9952E2"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(b) tranzacțiile de creditare în marjă. </w:t>
            </w:r>
          </w:p>
          <w:p w14:paraId="140D6F83"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(c) contractele enumerate în anexa II; </w:t>
            </w:r>
          </w:p>
          <w:p w14:paraId="627BAC09"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26. „segment de plată” înseamnă plata convenită la o tranzacție cu un instrument financiar derivat extrabursier, care are un profil de risc liniar și prevede schimbul unui instrument financiar contra unei plăți. </w:t>
            </w:r>
          </w:p>
          <w:p w14:paraId="73AD35DB" w14:textId="3D83BEFE" w:rsidR="001A4DE8" w:rsidRPr="00A96E09" w:rsidRDefault="001A4DE8" w:rsidP="003456B0">
            <w:pPr>
              <w:pStyle w:val="CM4"/>
              <w:spacing w:after="120"/>
              <w:jc w:val="both"/>
              <w:rPr>
                <w:rFonts w:ascii="Times New Roman" w:hAnsi="Times New Roman"/>
                <w:b/>
                <w:sz w:val="18"/>
                <w:szCs w:val="18"/>
                <w:lang w:val="ro-MD"/>
              </w:rPr>
            </w:pPr>
            <w:r w:rsidRPr="00A96E09">
              <w:rPr>
                <w:rFonts w:ascii="Times New Roman" w:hAnsi="Times New Roman"/>
                <w:sz w:val="18"/>
                <w:szCs w:val="18"/>
                <w:lang w:val="ro-MD"/>
              </w:rPr>
              <w:t>În cazul tranzacțiilor care prevăd schimbul unei plăți contra altei plăți, aceste două segmente de plată constau în plăți brute convenite prin contract, incluzând valoarea noțională a tranzacției.</w:t>
            </w:r>
          </w:p>
        </w:tc>
        <w:tc>
          <w:tcPr>
            <w:tcW w:w="4356" w:type="dxa"/>
          </w:tcPr>
          <w:p w14:paraId="267F047E" w14:textId="77777777" w:rsidR="001A4DE8" w:rsidRPr="008070DB" w:rsidRDefault="001A4DE8" w:rsidP="003456B0">
            <w:pPr>
              <w:jc w:val="both"/>
              <w:rPr>
                <w:b/>
                <w:sz w:val="18"/>
                <w:szCs w:val="18"/>
                <w:lang w:val="ro-MD"/>
              </w:rPr>
            </w:pPr>
            <w:r w:rsidRPr="008070DB">
              <w:rPr>
                <w:b/>
                <w:sz w:val="18"/>
                <w:szCs w:val="18"/>
                <w:lang w:val="ro-MD"/>
              </w:rPr>
              <w:lastRenderedPageBreak/>
              <w:t xml:space="preserve">Capitolul I. Dispoziții generale </w:t>
            </w:r>
          </w:p>
          <w:p w14:paraId="71DC2F9C" w14:textId="77777777" w:rsidR="001A4DE8" w:rsidRPr="008070DB" w:rsidRDefault="001A4DE8" w:rsidP="003456B0">
            <w:pPr>
              <w:jc w:val="both"/>
              <w:rPr>
                <w:i/>
                <w:sz w:val="18"/>
                <w:szCs w:val="18"/>
                <w:lang w:val="ro-MD"/>
              </w:rPr>
            </w:pPr>
          </w:p>
          <w:p w14:paraId="271B6BB5" w14:textId="77777777" w:rsidR="001A4DE8" w:rsidRPr="008070DB" w:rsidRDefault="001A4DE8" w:rsidP="003456B0">
            <w:pPr>
              <w:pStyle w:val="CM4"/>
              <w:tabs>
                <w:tab w:val="left" w:pos="150"/>
              </w:tabs>
              <w:jc w:val="both"/>
              <w:rPr>
                <w:rFonts w:ascii="Times New Roman" w:hAnsi="Times New Roman"/>
                <w:i/>
                <w:color w:val="0000CC"/>
                <w:sz w:val="18"/>
                <w:szCs w:val="18"/>
                <w:lang w:val="ro-MD"/>
              </w:rPr>
            </w:pPr>
            <w:r w:rsidRPr="008070DB">
              <w:rPr>
                <w:rFonts w:ascii="Times New Roman" w:hAnsi="Times New Roman"/>
                <w:i/>
                <w:sz w:val="18"/>
                <w:szCs w:val="18"/>
                <w:lang w:val="ro-MD"/>
              </w:rPr>
              <w:t>Secțiunea 1. Domeniu de aplicare şi noţiuni</w:t>
            </w:r>
          </w:p>
          <w:p w14:paraId="61FFD84B" w14:textId="77777777" w:rsidR="001A4DE8" w:rsidRPr="008070DB" w:rsidRDefault="001A4DE8" w:rsidP="003456B0">
            <w:pPr>
              <w:jc w:val="both"/>
              <w:rPr>
                <w:i/>
                <w:sz w:val="18"/>
                <w:szCs w:val="18"/>
                <w:lang w:val="ro-MD"/>
              </w:rPr>
            </w:pPr>
          </w:p>
          <w:p w14:paraId="2F199169" w14:textId="60CE02A7" w:rsidR="001A4DE8" w:rsidRDefault="001A4DE8" w:rsidP="003456B0">
            <w:pPr>
              <w:tabs>
                <w:tab w:val="left" w:pos="540"/>
              </w:tabs>
              <w:jc w:val="both"/>
              <w:rPr>
                <w:color w:val="000000"/>
                <w:sz w:val="18"/>
                <w:szCs w:val="18"/>
                <w:lang w:val="ro-MD"/>
              </w:rPr>
            </w:pPr>
            <w:r w:rsidRPr="008070DB">
              <w:rPr>
                <w:b/>
                <w:bCs/>
                <w:color w:val="000000"/>
                <w:sz w:val="18"/>
                <w:szCs w:val="18"/>
                <w:lang w:val="ro-MD"/>
              </w:rPr>
              <w:t>3.</w:t>
            </w:r>
            <w:r w:rsidRPr="008070DB">
              <w:rPr>
                <w:color w:val="000000"/>
                <w:sz w:val="18"/>
                <w:szCs w:val="18"/>
                <w:lang w:val="ro-MD"/>
              </w:rPr>
              <w:t xml:space="preserve"> În sensul prezentului regulamentului se utilizează următoarele noţiuni:</w:t>
            </w:r>
          </w:p>
          <w:p w14:paraId="0F18D33D" w14:textId="77777777" w:rsidR="004B3B1E" w:rsidRPr="004B3B1E" w:rsidRDefault="004B3B1E" w:rsidP="004B3B1E">
            <w:pPr>
              <w:jc w:val="both"/>
              <w:rPr>
                <w:color w:val="000000"/>
                <w:sz w:val="18"/>
                <w:szCs w:val="18"/>
                <w:lang w:val="ro-MD"/>
              </w:rPr>
            </w:pPr>
            <w:r w:rsidRPr="004B3B1E">
              <w:rPr>
                <w:i/>
                <w:iCs/>
                <w:color w:val="000000"/>
                <w:sz w:val="18"/>
                <w:szCs w:val="18"/>
                <w:lang w:val="ro-MD"/>
              </w:rPr>
              <w:t>acord de compensare contractuală</w:t>
            </w:r>
            <w:r w:rsidRPr="004B3B1E">
              <w:rPr>
                <w:color w:val="000000"/>
                <w:sz w:val="18"/>
                <w:szCs w:val="18"/>
                <w:lang w:val="ro-MD"/>
              </w:rPr>
              <w:t xml:space="preserve"> </w:t>
            </w:r>
            <w:r w:rsidRPr="004B3B1E">
              <w:rPr>
                <w:i/>
                <w:iCs/>
                <w:color w:val="000000"/>
                <w:sz w:val="18"/>
                <w:szCs w:val="18"/>
                <w:lang w:val="ro-MD"/>
              </w:rPr>
              <w:t>între produse diferite</w:t>
            </w:r>
            <w:r w:rsidRPr="004B3B1E">
              <w:rPr>
                <w:color w:val="000000"/>
                <w:sz w:val="18"/>
                <w:szCs w:val="18"/>
                <w:lang w:val="ro-MD"/>
              </w:rPr>
              <w:t xml:space="preserve"> - un acord contractual bilateral între o bancă şi o contraparte, care creează o obligaţie juridică unică (pe baza compensării tranzacţiilor acoperite) ce acoperă toate acordurile-cadru bilaterale şi toate tranzacţiile incluse în acest acord;</w:t>
            </w:r>
          </w:p>
          <w:p w14:paraId="466C969D" w14:textId="77777777" w:rsidR="004B3B1E" w:rsidRPr="004B3B1E" w:rsidRDefault="004B3B1E" w:rsidP="004B3B1E">
            <w:pPr>
              <w:jc w:val="both"/>
              <w:rPr>
                <w:color w:val="000000"/>
                <w:sz w:val="18"/>
                <w:szCs w:val="18"/>
                <w:lang w:val="ro-MD"/>
              </w:rPr>
            </w:pPr>
            <w:r w:rsidRPr="004B3B1E">
              <w:rPr>
                <w:i/>
                <w:iCs/>
                <w:color w:val="000000"/>
                <w:sz w:val="18"/>
                <w:szCs w:val="18"/>
                <w:lang w:val="ro-MD"/>
              </w:rPr>
              <w:t>contraparte</w:t>
            </w:r>
            <w:r w:rsidRPr="004B3B1E">
              <w:rPr>
                <w:color w:val="000000"/>
                <w:sz w:val="18"/>
                <w:szCs w:val="18"/>
                <w:lang w:val="ro-MD"/>
              </w:rPr>
              <w:t xml:space="preserve"> - orice persoană juridică sau fizică care participă la un acord de compensare şi are capacitatea de exerciţiu în acest sens;</w:t>
            </w:r>
          </w:p>
          <w:p w14:paraId="4EDADB80" w14:textId="77777777" w:rsidR="004B3B1E" w:rsidRPr="004B3B1E" w:rsidRDefault="004B3B1E" w:rsidP="004B3B1E">
            <w:pPr>
              <w:jc w:val="both"/>
              <w:rPr>
                <w:color w:val="000000"/>
                <w:sz w:val="18"/>
                <w:szCs w:val="18"/>
                <w:lang w:val="ro-MD"/>
              </w:rPr>
            </w:pPr>
            <w:r w:rsidRPr="004B3B1E">
              <w:rPr>
                <w:i/>
                <w:iCs/>
                <w:color w:val="000000"/>
                <w:sz w:val="18"/>
                <w:szCs w:val="18"/>
                <w:lang w:val="ro-MD"/>
              </w:rPr>
              <w:t>contraparte centrală (CPC)</w:t>
            </w:r>
            <w:r w:rsidRPr="004B3B1E">
              <w:rPr>
                <w:color w:val="000000"/>
                <w:sz w:val="18"/>
                <w:szCs w:val="18"/>
                <w:lang w:val="ro-MD"/>
              </w:rPr>
              <w:t xml:space="preserve"> - o persoană juridică care se interpune între contrapărţile la contractele tranzacţionate pe una sau mai multe pieţe financiare, devenind astfel cumpărător pentru fiecare vânzător şi vânzător pentru fiecare cumpărător;</w:t>
            </w:r>
          </w:p>
          <w:p w14:paraId="3D23AEDE" w14:textId="77777777" w:rsidR="004B3B1E" w:rsidRPr="004B3B1E" w:rsidRDefault="004B3B1E" w:rsidP="004B3B1E">
            <w:pPr>
              <w:jc w:val="both"/>
              <w:rPr>
                <w:color w:val="000000"/>
                <w:sz w:val="18"/>
                <w:szCs w:val="18"/>
                <w:lang w:val="ro-MD"/>
              </w:rPr>
            </w:pPr>
            <w:r w:rsidRPr="004B3B1E">
              <w:rPr>
                <w:i/>
                <w:iCs/>
                <w:color w:val="000000"/>
                <w:sz w:val="18"/>
                <w:szCs w:val="18"/>
                <w:lang w:val="ro-MD"/>
              </w:rPr>
              <w:t>contraparte centrală calificată (CPCC)</w:t>
            </w:r>
            <w:r w:rsidRPr="004B3B1E">
              <w:rPr>
                <w:color w:val="000000"/>
                <w:sz w:val="18"/>
                <w:szCs w:val="18"/>
                <w:lang w:val="ro-MD"/>
              </w:rPr>
              <w:t xml:space="preserve"> - o contraparte centrală care fie a fost autorizată de către o autoritate competentă a statului membru Uniunii Europene (UE) în care este stabilită sau într-o ţară terţă a UE;</w:t>
            </w:r>
          </w:p>
          <w:p w14:paraId="1CF84DAC" w14:textId="77777777" w:rsidR="004B3B1E" w:rsidRPr="004B3B1E" w:rsidRDefault="004B3B1E" w:rsidP="004B3B1E">
            <w:pPr>
              <w:jc w:val="both"/>
              <w:rPr>
                <w:color w:val="000000"/>
                <w:sz w:val="18"/>
                <w:szCs w:val="18"/>
                <w:lang w:val="ro-MD"/>
              </w:rPr>
            </w:pPr>
            <w:r w:rsidRPr="004B3B1E">
              <w:rPr>
                <w:i/>
                <w:iCs/>
                <w:color w:val="000000"/>
                <w:sz w:val="18"/>
                <w:szCs w:val="18"/>
                <w:lang w:val="ro-MD"/>
              </w:rPr>
              <w:t>client</w:t>
            </w:r>
            <w:r w:rsidRPr="004B3B1E">
              <w:rPr>
                <w:color w:val="000000"/>
                <w:sz w:val="18"/>
                <w:szCs w:val="18"/>
                <w:lang w:val="ro-MD"/>
              </w:rPr>
              <w:t xml:space="preserve"> - o entitate a cărei relaţie contractuală cu un membru compensator al unei CPC îi permite să îşi compenseze tranzacţiile prin CPC respectivă;</w:t>
            </w:r>
          </w:p>
          <w:p w14:paraId="7CC87CD9" w14:textId="77777777" w:rsidR="004B3B1E" w:rsidRPr="004B3B1E" w:rsidRDefault="004B3B1E" w:rsidP="004B3B1E">
            <w:pPr>
              <w:jc w:val="both"/>
              <w:rPr>
                <w:color w:val="000000"/>
                <w:sz w:val="18"/>
                <w:szCs w:val="18"/>
                <w:lang w:val="ro-MD"/>
              </w:rPr>
            </w:pPr>
            <w:r w:rsidRPr="004B3B1E">
              <w:rPr>
                <w:i/>
                <w:iCs/>
                <w:color w:val="000000"/>
                <w:sz w:val="18"/>
                <w:szCs w:val="18"/>
                <w:lang w:val="ro-MD"/>
              </w:rPr>
              <w:t>client de nivel superior</w:t>
            </w:r>
            <w:r w:rsidRPr="004B3B1E">
              <w:rPr>
                <w:color w:val="000000"/>
                <w:sz w:val="18"/>
                <w:szCs w:val="18"/>
                <w:lang w:val="ro-MD"/>
              </w:rPr>
              <w:t xml:space="preserve"> - o entitate care furnizează servicii de compensare unui client de nivel inferior;</w:t>
            </w:r>
          </w:p>
          <w:p w14:paraId="326A87F8" w14:textId="77777777" w:rsidR="004B3B1E" w:rsidRPr="004B3B1E" w:rsidRDefault="004B3B1E" w:rsidP="004B3B1E">
            <w:pPr>
              <w:jc w:val="both"/>
              <w:rPr>
                <w:color w:val="000000"/>
                <w:sz w:val="18"/>
                <w:szCs w:val="18"/>
                <w:lang w:val="ro-MD"/>
              </w:rPr>
            </w:pPr>
            <w:r w:rsidRPr="004B3B1E">
              <w:rPr>
                <w:i/>
                <w:iCs/>
                <w:color w:val="000000"/>
                <w:sz w:val="18"/>
                <w:szCs w:val="18"/>
                <w:lang w:val="ro-MD"/>
              </w:rPr>
              <w:t>client de nivel inferior</w:t>
            </w:r>
            <w:r w:rsidRPr="004B3B1E">
              <w:rPr>
                <w:color w:val="000000"/>
                <w:sz w:val="18"/>
                <w:szCs w:val="18"/>
                <w:lang w:val="ro-MD"/>
              </w:rPr>
              <w:t xml:space="preserve"> - o entitate care accesează serviciile unei CPC prin intermediul unui client de nivel superior;</w:t>
            </w:r>
          </w:p>
          <w:p w14:paraId="3BEF07BD" w14:textId="77777777" w:rsidR="004B3B1E" w:rsidRPr="004B3B1E" w:rsidRDefault="004B3B1E" w:rsidP="004B3B1E">
            <w:pPr>
              <w:jc w:val="both"/>
              <w:rPr>
                <w:color w:val="000000"/>
                <w:sz w:val="18"/>
                <w:szCs w:val="18"/>
                <w:lang w:val="ro-MD"/>
              </w:rPr>
            </w:pPr>
            <w:r w:rsidRPr="004B3B1E">
              <w:rPr>
                <w:i/>
                <w:iCs/>
                <w:color w:val="000000"/>
                <w:sz w:val="18"/>
                <w:szCs w:val="18"/>
                <w:lang w:val="ro-MD"/>
              </w:rPr>
              <w:lastRenderedPageBreak/>
              <w:t>contract în marjă</w:t>
            </w:r>
            <w:r w:rsidRPr="004B3B1E">
              <w:rPr>
                <w:color w:val="000000"/>
                <w:sz w:val="18"/>
                <w:szCs w:val="18"/>
                <w:lang w:val="ro-MD"/>
              </w:rPr>
              <w:t xml:space="preserve"> - un acord sau dispoziţiile unui acord, conform căruia o contraparte trebuie să furnizeze garanţii reale unei a doua contrapărţi, atunci când o expunere a celei de-a doua contrapărţi faţă de prima contraparte depăşeşte un nivel specificat;</w:t>
            </w:r>
          </w:p>
          <w:p w14:paraId="5C08C4E9" w14:textId="77777777" w:rsidR="004B3B1E" w:rsidRPr="004B3B1E" w:rsidRDefault="004B3B1E" w:rsidP="004B3B1E">
            <w:pPr>
              <w:jc w:val="both"/>
              <w:rPr>
                <w:color w:val="000000"/>
                <w:sz w:val="18"/>
                <w:szCs w:val="18"/>
                <w:lang w:val="ro-MD"/>
              </w:rPr>
            </w:pPr>
            <w:bookmarkStart w:id="1" w:name="_Hlk216792174"/>
            <w:r w:rsidRPr="004B3B1E">
              <w:rPr>
                <w:i/>
                <w:iCs/>
                <w:color w:val="000000"/>
                <w:sz w:val="18"/>
                <w:szCs w:val="18"/>
                <w:lang w:val="ro-MD"/>
              </w:rPr>
              <w:t>contract în marjă într-un singur sens</w:t>
            </w:r>
            <w:r w:rsidRPr="004B3B1E">
              <w:rPr>
                <w:color w:val="000000"/>
                <w:sz w:val="18"/>
                <w:szCs w:val="18"/>
                <w:lang w:val="ro-MD"/>
              </w:rPr>
              <w:t xml:space="preserve"> - un contract în marjă conform căruia banca este obligată să furnizeze marje de variaţie unei contrapărţi, dar nu are dreptul să primească marja de variaţie de la contrapartea respectivă sau viceversa;</w:t>
            </w:r>
          </w:p>
          <w:bookmarkEnd w:id="1"/>
          <w:p w14:paraId="57770405" w14:textId="77777777" w:rsidR="004B3B1E" w:rsidRPr="004B3B1E" w:rsidRDefault="004B3B1E" w:rsidP="004B3B1E">
            <w:pPr>
              <w:jc w:val="both"/>
              <w:rPr>
                <w:color w:val="000000"/>
                <w:sz w:val="18"/>
                <w:szCs w:val="18"/>
                <w:lang w:val="ro-MD"/>
              </w:rPr>
            </w:pPr>
            <w:r w:rsidRPr="004B3B1E">
              <w:rPr>
                <w:i/>
                <w:iCs/>
                <w:color w:val="000000"/>
                <w:sz w:val="18"/>
                <w:szCs w:val="18"/>
                <w:lang w:val="ro-MD"/>
              </w:rPr>
              <w:t>contribuţie nefinanţată la un fond de garantare</w:t>
            </w:r>
            <w:r w:rsidRPr="004B3B1E">
              <w:rPr>
                <w:color w:val="000000"/>
                <w:sz w:val="18"/>
                <w:szCs w:val="18"/>
                <w:lang w:val="ro-MD"/>
              </w:rPr>
              <w:t xml:space="preserve"> - o contribuţie pe care banca care acţionează ca membru compensator s-a angajat contractual să o furnizeze unei CPC după ce aceasta din urmă şi-a epuizat fondul de garantare pentru a acoperi pierderile suportate ca urmare a intrării în stare de nerambursare a unuia sau a mai multora dintre membrii săi compensatori;</w:t>
            </w:r>
          </w:p>
          <w:p w14:paraId="0BE22ACE" w14:textId="77777777" w:rsidR="004B3B1E" w:rsidRPr="004B3B1E" w:rsidRDefault="004B3B1E" w:rsidP="004B3B1E">
            <w:pPr>
              <w:jc w:val="both"/>
              <w:rPr>
                <w:color w:val="000000"/>
                <w:sz w:val="18"/>
                <w:szCs w:val="18"/>
                <w:lang w:val="ro-MD"/>
              </w:rPr>
            </w:pPr>
            <w:r w:rsidRPr="004B3B1E">
              <w:rPr>
                <w:i/>
                <w:iCs/>
                <w:color w:val="000000"/>
                <w:sz w:val="18"/>
                <w:szCs w:val="18"/>
                <w:lang w:val="ro-MD"/>
              </w:rPr>
              <w:t>compensare între produse diferite</w:t>
            </w:r>
            <w:r w:rsidRPr="004B3B1E">
              <w:rPr>
                <w:color w:val="000000"/>
                <w:sz w:val="18"/>
                <w:szCs w:val="18"/>
                <w:lang w:val="ro-MD"/>
              </w:rPr>
              <w:t xml:space="preserve"> - includerea, în acelaşi set de compensare, a unor tranzacţii privind categorii diferite de produse, în conformitate cu normele de compensare între produse diferite, stabilite în regulament;</w:t>
            </w:r>
          </w:p>
          <w:p w14:paraId="7E90E564" w14:textId="77777777" w:rsidR="004B3B1E" w:rsidRPr="004B3B1E" w:rsidRDefault="004B3B1E" w:rsidP="004B3B1E">
            <w:pPr>
              <w:jc w:val="both"/>
              <w:rPr>
                <w:color w:val="000000"/>
                <w:sz w:val="18"/>
                <w:szCs w:val="18"/>
                <w:lang w:val="ro-MD"/>
              </w:rPr>
            </w:pPr>
            <w:bookmarkStart w:id="2" w:name="_Hlk215579863"/>
            <w:r w:rsidRPr="004B3B1E">
              <w:rPr>
                <w:i/>
                <w:iCs/>
                <w:color w:val="000000"/>
                <w:sz w:val="18"/>
                <w:szCs w:val="18"/>
                <w:lang w:val="ro-MD"/>
              </w:rPr>
              <w:t>distribuția expunerilor</w:t>
            </w:r>
            <w:r w:rsidRPr="004B3B1E">
              <w:rPr>
                <w:color w:val="000000"/>
                <w:sz w:val="18"/>
                <w:szCs w:val="18"/>
                <w:lang w:val="ro-MD"/>
              </w:rPr>
              <w:t xml:space="preserve"> - distribuția de probabilitate previzionată a valorilor de piață, care se obține dacă valorile de piață nete negative previzionate se stabilesc la 0;</w:t>
            </w:r>
          </w:p>
          <w:p w14:paraId="17BD3540" w14:textId="77777777" w:rsidR="004B3B1E" w:rsidRPr="004B3B1E" w:rsidRDefault="004B3B1E" w:rsidP="004B3B1E">
            <w:pPr>
              <w:jc w:val="both"/>
              <w:rPr>
                <w:color w:val="000000"/>
                <w:sz w:val="18"/>
                <w:szCs w:val="18"/>
                <w:lang w:val="ro-MD"/>
              </w:rPr>
            </w:pPr>
            <w:r w:rsidRPr="004B3B1E">
              <w:rPr>
                <w:i/>
                <w:iCs/>
                <w:color w:val="000000"/>
                <w:sz w:val="18"/>
                <w:szCs w:val="18"/>
                <w:lang w:val="ro-MD"/>
              </w:rPr>
              <w:t>distribuția valorilor de piață</w:t>
            </w:r>
            <w:r w:rsidRPr="004B3B1E">
              <w:rPr>
                <w:color w:val="000000"/>
                <w:sz w:val="18"/>
                <w:szCs w:val="18"/>
                <w:lang w:val="ro-MD"/>
              </w:rPr>
              <w:t xml:space="preserve"> - distribuția de probabilitate previzionată a valorilor de piață nete ale tranzacțiilor din cadrul unui set de compensare la o dată viitoare (orizont de previzionare), pe baza valorilor de piață realizate ale tranzacțiilor respective la data previzionării;</w:t>
            </w:r>
          </w:p>
          <w:p w14:paraId="50B09EE8" w14:textId="77777777" w:rsidR="004B3B1E" w:rsidRPr="004B3B1E" w:rsidRDefault="004B3B1E" w:rsidP="004B3B1E">
            <w:pPr>
              <w:jc w:val="both"/>
              <w:rPr>
                <w:i/>
                <w:iCs/>
                <w:color w:val="000000"/>
                <w:sz w:val="18"/>
                <w:szCs w:val="18"/>
                <w:lang w:val="ro-MD"/>
              </w:rPr>
            </w:pPr>
            <w:bookmarkStart w:id="3" w:name="_Hlk216795188"/>
            <w:r w:rsidRPr="004B3B1E">
              <w:rPr>
                <w:i/>
                <w:iCs/>
                <w:color w:val="000000"/>
                <w:sz w:val="18"/>
                <w:szCs w:val="18"/>
                <w:lang w:val="ro-MD"/>
              </w:rPr>
              <w:t xml:space="preserve">distribuţia neutră la risc - </w:t>
            </w:r>
            <w:r w:rsidRPr="004B3B1E">
              <w:rPr>
                <w:color w:val="000000"/>
                <w:sz w:val="18"/>
                <w:szCs w:val="18"/>
                <w:lang w:val="ro-MD"/>
              </w:rPr>
              <w:t>o distribuţie a valorilor de piaţă sau a expunerilor pe o perioadă viitoare, calculată pe baza valorilor de piaţă implicite, precum volatilităţile implicite;</w:t>
            </w:r>
            <w:r w:rsidRPr="004B3B1E">
              <w:rPr>
                <w:i/>
                <w:iCs/>
                <w:color w:val="000000"/>
                <w:sz w:val="18"/>
                <w:szCs w:val="18"/>
                <w:lang w:val="ro-MD"/>
              </w:rPr>
              <w:t xml:space="preserve"> </w:t>
            </w:r>
          </w:p>
          <w:p w14:paraId="22CD0F23" w14:textId="77777777" w:rsidR="004B3B1E" w:rsidRPr="004B3B1E" w:rsidRDefault="004B3B1E" w:rsidP="004B3B1E">
            <w:pPr>
              <w:jc w:val="both"/>
              <w:rPr>
                <w:i/>
                <w:iCs/>
                <w:color w:val="000000"/>
                <w:sz w:val="18"/>
                <w:szCs w:val="18"/>
                <w:lang w:val="ro-MD"/>
              </w:rPr>
            </w:pPr>
            <w:r w:rsidRPr="004B3B1E">
              <w:rPr>
                <w:i/>
                <w:iCs/>
                <w:color w:val="000000"/>
                <w:sz w:val="18"/>
                <w:szCs w:val="18"/>
                <w:lang w:val="ro-MD"/>
              </w:rPr>
              <w:t xml:space="preserve">distribuţie efectivă  - </w:t>
            </w:r>
            <w:r w:rsidRPr="004B3B1E">
              <w:rPr>
                <w:color w:val="000000"/>
                <w:sz w:val="18"/>
                <w:szCs w:val="18"/>
                <w:lang w:val="ro-MD"/>
              </w:rPr>
              <w:t>o distribuţie a valorilor de piaţă sau a expunerilor pe o perioadă viitoare, calculată pe baza valorilor istorice sau realizate, precum volatilităţile calculate pe baza variaţiilor înregistrate în trecut ale preţurilor sau ratelor;</w:t>
            </w:r>
          </w:p>
          <w:bookmarkEnd w:id="3"/>
          <w:p w14:paraId="2FCA77ED" w14:textId="77777777" w:rsidR="004B3B1E" w:rsidRPr="004B3B1E" w:rsidRDefault="004B3B1E" w:rsidP="004B3B1E">
            <w:pPr>
              <w:jc w:val="both"/>
              <w:rPr>
                <w:color w:val="000000"/>
                <w:sz w:val="18"/>
                <w:szCs w:val="18"/>
                <w:lang w:val="ro-MD"/>
              </w:rPr>
            </w:pPr>
            <w:r w:rsidRPr="004B3B1E">
              <w:rPr>
                <w:i/>
                <w:iCs/>
                <w:color w:val="000000"/>
                <w:sz w:val="18"/>
                <w:szCs w:val="18"/>
                <w:lang w:val="ro-MD"/>
              </w:rPr>
              <w:t>expunere așteptată (EE)</w:t>
            </w:r>
            <w:r w:rsidRPr="004B3B1E">
              <w:rPr>
                <w:color w:val="000000"/>
                <w:sz w:val="18"/>
                <w:szCs w:val="18"/>
                <w:lang w:val="ro-MD"/>
              </w:rPr>
              <w:t xml:space="preserve"> - media distribuției expunerilor, la o anumită dată viitoare, înainte de data scadenței </w:t>
            </w:r>
            <w:r w:rsidRPr="004B3B1E">
              <w:rPr>
                <w:color w:val="000000"/>
                <w:sz w:val="18"/>
                <w:szCs w:val="18"/>
                <w:lang w:val="ro-MD"/>
              </w:rPr>
              <w:lastRenderedPageBreak/>
              <w:t>tranzacției cu cea mai lungă durată din setul de compensare;</w:t>
            </w:r>
          </w:p>
          <w:p w14:paraId="05677A25" w14:textId="77777777" w:rsidR="004B3B1E" w:rsidRPr="004B3B1E" w:rsidRDefault="004B3B1E" w:rsidP="004B3B1E">
            <w:pPr>
              <w:jc w:val="both"/>
              <w:rPr>
                <w:color w:val="000000"/>
                <w:sz w:val="18"/>
                <w:szCs w:val="18"/>
                <w:lang w:val="ro-MD"/>
              </w:rPr>
            </w:pPr>
            <w:r w:rsidRPr="004B3B1E">
              <w:rPr>
                <w:i/>
                <w:iCs/>
                <w:color w:val="000000"/>
                <w:sz w:val="18"/>
                <w:szCs w:val="18"/>
                <w:lang w:val="ro-MD"/>
              </w:rPr>
              <w:t>expunere așteptată efectivă la o dată specifică</w:t>
            </w:r>
            <w:r w:rsidRPr="004B3B1E">
              <w:rPr>
                <w:color w:val="000000"/>
                <w:sz w:val="18"/>
                <w:szCs w:val="18"/>
                <w:lang w:val="ro-MD"/>
              </w:rPr>
              <w:t xml:space="preserve"> </w:t>
            </w:r>
            <w:r w:rsidRPr="004B3B1E">
              <w:rPr>
                <w:i/>
                <w:iCs/>
                <w:color w:val="000000"/>
                <w:sz w:val="18"/>
                <w:szCs w:val="18"/>
                <w:lang w:val="ro-MD"/>
              </w:rPr>
              <w:t>(EE efectivă)</w:t>
            </w:r>
            <w:r w:rsidRPr="004B3B1E">
              <w:rPr>
                <w:color w:val="000000"/>
                <w:sz w:val="18"/>
                <w:szCs w:val="18"/>
                <w:lang w:val="ro-MD"/>
              </w:rPr>
              <w:t xml:space="preserve"> - este valoarea maximă a expunerii așteptate din data respectivă sau din orice dată anterioară. Expunerea așteptată efectivă la o dată specifică se mai poate, de asemenea, defini ca valoarea mai mare dintre expunerea așteptată la data respectivă și expunerea așteptată efectivă la orice dată anterioară;</w:t>
            </w:r>
          </w:p>
          <w:p w14:paraId="6DC59603" w14:textId="77777777" w:rsidR="004B3B1E" w:rsidRPr="004B3B1E" w:rsidRDefault="004B3B1E" w:rsidP="004B3B1E">
            <w:pPr>
              <w:jc w:val="both"/>
              <w:rPr>
                <w:color w:val="000000"/>
                <w:sz w:val="18"/>
                <w:szCs w:val="18"/>
                <w:lang w:val="ro-MD"/>
              </w:rPr>
            </w:pPr>
            <w:r w:rsidRPr="004B3B1E">
              <w:rPr>
                <w:i/>
                <w:iCs/>
                <w:color w:val="000000"/>
                <w:sz w:val="18"/>
                <w:szCs w:val="18"/>
                <w:lang w:val="ro-MD"/>
              </w:rPr>
              <w:t>expunere curentă</w:t>
            </w:r>
            <w:r w:rsidRPr="004B3B1E">
              <w:rPr>
                <w:color w:val="000000"/>
                <w:sz w:val="18"/>
                <w:szCs w:val="18"/>
                <w:lang w:val="ro-MD"/>
              </w:rPr>
              <w:t xml:space="preserve"> - este valoarea mai mare dintre zero și valoarea de piață a unei tranzacții sau a unui portofoliu de tranzacții din cadrul unui set de compensare cu o contraparte, care s-ar pierde prin intrarea contrapărții în stare de nerambursare, presupunând că valoarea tranzacțiilor respective nu poate fi recuperată, nici parțial, în caz de insolvență sau de lichidare;</w:t>
            </w:r>
          </w:p>
          <w:p w14:paraId="5018D040" w14:textId="77777777" w:rsidR="004B3B1E" w:rsidRPr="004B3B1E" w:rsidRDefault="004B3B1E" w:rsidP="004B3B1E">
            <w:pPr>
              <w:jc w:val="both"/>
              <w:rPr>
                <w:color w:val="000000"/>
                <w:sz w:val="18"/>
                <w:szCs w:val="18"/>
                <w:lang w:val="ro-MD"/>
              </w:rPr>
            </w:pPr>
            <w:r w:rsidRPr="004B3B1E">
              <w:rPr>
                <w:i/>
                <w:iCs/>
                <w:color w:val="000000"/>
                <w:sz w:val="18"/>
                <w:szCs w:val="18"/>
                <w:lang w:val="ro-MD"/>
              </w:rPr>
              <w:t>expunere maximă</w:t>
            </w:r>
            <w:r w:rsidRPr="004B3B1E">
              <w:rPr>
                <w:color w:val="000000"/>
                <w:sz w:val="18"/>
                <w:szCs w:val="18"/>
                <w:lang w:val="ro-MD"/>
              </w:rPr>
              <w:t xml:space="preserve"> - o centilă superioară a distribuției expunerilor la o anumită dată viitoare, anterioară datei scadenței tranzacției cu cea mai lungă durată din setul de compensare;</w:t>
            </w:r>
            <w:r w:rsidRPr="004B3B1E">
              <w:rPr>
                <w:i/>
                <w:iCs/>
                <w:color w:val="000000"/>
                <w:sz w:val="18"/>
                <w:szCs w:val="18"/>
                <w:lang w:val="ro-MD"/>
              </w:rPr>
              <w:t>expunerea pozitivă așteptată (EPE)</w:t>
            </w:r>
            <w:r w:rsidRPr="004B3B1E">
              <w:rPr>
                <w:color w:val="000000"/>
                <w:sz w:val="18"/>
                <w:szCs w:val="18"/>
                <w:lang w:val="ro-MD"/>
              </w:rPr>
              <w:t xml:space="preserve"> - media ponderată în timp a expunerilor așteptate, în care ponderile sunt proporțiile din întreaga perioadă care corespund fiecărei expuneri așteptate.</w:t>
            </w:r>
          </w:p>
          <w:p w14:paraId="62F9F519" w14:textId="77777777" w:rsidR="004B3B1E" w:rsidRPr="004B3B1E" w:rsidRDefault="004B3B1E" w:rsidP="004B3B1E">
            <w:pPr>
              <w:jc w:val="both"/>
              <w:rPr>
                <w:color w:val="000000"/>
                <w:sz w:val="18"/>
                <w:szCs w:val="18"/>
                <w:lang w:val="ro-MD"/>
              </w:rPr>
            </w:pPr>
            <w:r w:rsidRPr="004B3B1E">
              <w:rPr>
                <w:color w:val="000000"/>
                <w:sz w:val="18"/>
                <w:szCs w:val="18"/>
                <w:lang w:val="ro-MD"/>
              </w:rPr>
              <w:t>La calculul cerinței de fonduri proprii, băncile utilizează media pe primul an sau, dacă toate contractele din setul de compensare ajung la scadență în mai puțin de un an, pe durata în care contractul cu cea mai mare scadență din setul de compensare ajunge la scadență;</w:t>
            </w:r>
          </w:p>
          <w:p w14:paraId="2A3CB5B9" w14:textId="77777777" w:rsidR="004B3B1E" w:rsidRPr="004B3B1E" w:rsidRDefault="004B3B1E" w:rsidP="004B3B1E">
            <w:pPr>
              <w:jc w:val="both"/>
              <w:rPr>
                <w:color w:val="000000"/>
                <w:sz w:val="18"/>
                <w:szCs w:val="18"/>
                <w:lang w:val="ro-MD"/>
              </w:rPr>
            </w:pPr>
            <w:r w:rsidRPr="004B3B1E">
              <w:rPr>
                <w:i/>
                <w:iCs/>
                <w:color w:val="000000"/>
                <w:sz w:val="18"/>
                <w:szCs w:val="18"/>
                <w:lang w:val="ro-MD"/>
              </w:rPr>
              <w:t>expunerea pozitivă așteptată efectivă (EPE efectivă)</w:t>
            </w:r>
            <w:r w:rsidRPr="004B3B1E">
              <w:rPr>
                <w:color w:val="000000"/>
                <w:sz w:val="18"/>
                <w:szCs w:val="18"/>
                <w:lang w:val="ro-MD"/>
              </w:rPr>
              <w:t xml:space="preserve"> - media ponderată a expunerilor așteptate efective pe primul an al unui set de compensare sau, dacă toate contractele din setul de compensare ajung la scadență în mai puțin de un an, pe durata contractului cu cea mai mare scadență din setul de compensare, în care ponderile sunt proporțiile din întreaga perioadă care corespund fiecărei expuneri așteptate;</w:t>
            </w:r>
          </w:p>
          <w:bookmarkEnd w:id="2"/>
          <w:p w14:paraId="7614346C" w14:textId="77777777" w:rsidR="004B3B1E" w:rsidRPr="004B3B1E" w:rsidRDefault="004B3B1E" w:rsidP="004B3B1E">
            <w:pPr>
              <w:jc w:val="both"/>
              <w:rPr>
                <w:color w:val="000000"/>
                <w:sz w:val="18"/>
                <w:szCs w:val="18"/>
                <w:lang w:val="ro-MD"/>
              </w:rPr>
            </w:pPr>
            <w:r w:rsidRPr="004B3B1E">
              <w:rPr>
                <w:i/>
                <w:iCs/>
                <w:color w:val="000000"/>
                <w:sz w:val="18"/>
                <w:szCs w:val="18"/>
                <w:lang w:val="ro-MD"/>
              </w:rPr>
              <w:t>expunere din tranzacţii</w:t>
            </w:r>
            <w:r w:rsidRPr="004B3B1E">
              <w:rPr>
                <w:color w:val="000000"/>
                <w:sz w:val="18"/>
                <w:szCs w:val="18"/>
                <w:lang w:val="ro-MD"/>
              </w:rPr>
              <w:t xml:space="preserve"> - o expunere curentă incluzând o marjă de variaţie datorată membrului compensator, dar încă neprimită, şi orice expunere viitoare potenţială a unui membru compensator sau a unui client la un CPC care </w:t>
            </w:r>
            <w:r w:rsidRPr="004B3B1E">
              <w:rPr>
                <w:color w:val="000000"/>
                <w:sz w:val="18"/>
                <w:szCs w:val="18"/>
                <w:lang w:val="ro-MD"/>
              </w:rPr>
              <w:lastRenderedPageBreak/>
              <w:t>rezultă din contractele şi tranzacţiile enumerate la punctul 125, precum şi marja iniţială;</w:t>
            </w:r>
          </w:p>
          <w:p w14:paraId="002C189C" w14:textId="77777777" w:rsidR="004B3B1E" w:rsidRPr="004B3B1E" w:rsidRDefault="004B3B1E" w:rsidP="004B3B1E">
            <w:pPr>
              <w:jc w:val="both"/>
              <w:rPr>
                <w:color w:val="000000"/>
                <w:sz w:val="18"/>
                <w:szCs w:val="18"/>
                <w:lang w:val="ro-MD"/>
              </w:rPr>
            </w:pPr>
            <w:r w:rsidRPr="004B3B1E">
              <w:rPr>
                <w:i/>
                <w:iCs/>
                <w:color w:val="000000"/>
                <w:sz w:val="18"/>
                <w:szCs w:val="18"/>
                <w:lang w:val="ro-MD"/>
              </w:rPr>
              <w:t>indisponibil în caz de insovabilitate</w:t>
            </w:r>
            <w:r w:rsidRPr="004B3B1E">
              <w:rPr>
                <w:color w:val="000000"/>
                <w:sz w:val="18"/>
                <w:szCs w:val="18"/>
                <w:lang w:val="ro-MD"/>
              </w:rPr>
              <w:t xml:space="preserve"> - cu privire la activele clienţilor, înseamnă existenţa unor dispoziţii eficace conform cărora activele respective fie nu vor fi disponibile creditorilor unei CPC sau unui membru compensator, în cazul insolvenţei CPC în cauză sau, respectiv, a membrului compensator în cauză, fie nu vor fi disponibile membrului compensator pentru a acoperi pierderile înregistrate ca urmare a nerambursării de către un client sau mai mulţi clienţi, alţii decât cei care au pus la dispoziţie activele respective;</w:t>
            </w:r>
          </w:p>
          <w:p w14:paraId="36B8D870" w14:textId="77777777" w:rsidR="004B3B1E" w:rsidRPr="004B3B1E" w:rsidRDefault="004B3B1E" w:rsidP="004B3B1E">
            <w:pPr>
              <w:jc w:val="both"/>
              <w:rPr>
                <w:color w:val="000000"/>
                <w:sz w:val="18"/>
                <w:szCs w:val="18"/>
                <w:lang w:val="ro-MD"/>
              </w:rPr>
            </w:pPr>
            <w:r w:rsidRPr="004B3B1E">
              <w:rPr>
                <w:i/>
                <w:iCs/>
                <w:color w:val="000000"/>
                <w:sz w:val="18"/>
                <w:szCs w:val="18"/>
                <w:lang w:val="ro-MD"/>
              </w:rPr>
              <w:t>membru compensator</w:t>
            </w:r>
            <w:r w:rsidRPr="004B3B1E">
              <w:rPr>
                <w:color w:val="000000"/>
                <w:sz w:val="18"/>
                <w:szCs w:val="18"/>
                <w:lang w:val="ro-MD"/>
              </w:rPr>
              <w:t xml:space="preserve"> - o persoană juridică care participă în cadrul unei CPC şi care răspunde de executarea obligaţiilor financiare care decurg din această participare;</w:t>
            </w:r>
          </w:p>
          <w:p w14:paraId="6C540A44" w14:textId="77777777" w:rsidR="004B3B1E" w:rsidRPr="004B3B1E" w:rsidRDefault="004B3B1E" w:rsidP="004B3B1E">
            <w:pPr>
              <w:jc w:val="both"/>
              <w:rPr>
                <w:color w:val="000000"/>
                <w:sz w:val="18"/>
                <w:szCs w:val="18"/>
                <w:lang w:val="ro-MD"/>
              </w:rPr>
            </w:pPr>
            <w:r w:rsidRPr="004B3B1E">
              <w:rPr>
                <w:i/>
                <w:iCs/>
                <w:color w:val="000000"/>
                <w:sz w:val="18"/>
                <w:szCs w:val="18"/>
                <w:lang w:val="ro-MD"/>
              </w:rPr>
              <w:t>perioadă de risc de marjă</w:t>
            </w:r>
            <w:r w:rsidRPr="004B3B1E">
              <w:rPr>
                <w:color w:val="000000"/>
                <w:sz w:val="18"/>
                <w:szCs w:val="18"/>
                <w:lang w:val="ro-MD"/>
              </w:rPr>
              <w:t xml:space="preserve"> - perioada de la ultimul schimb de garanţii reale care acoperă un set de compensare de tranzacţii cu o contraparte aflată în stare de nerambursare până la momentul la care tranzacţiile sunt închise şi riscul de piaţă rezultat face obiectul unei noi acoperiri;</w:t>
            </w:r>
          </w:p>
          <w:p w14:paraId="6F1AC92A" w14:textId="77777777" w:rsidR="004B3B1E" w:rsidRPr="004B3B1E" w:rsidRDefault="004B3B1E" w:rsidP="004B3B1E">
            <w:pPr>
              <w:jc w:val="both"/>
              <w:rPr>
                <w:color w:val="000000"/>
                <w:sz w:val="18"/>
                <w:szCs w:val="18"/>
                <w:lang w:val="ro-MD"/>
              </w:rPr>
            </w:pPr>
            <w:r w:rsidRPr="004B3B1E">
              <w:rPr>
                <w:i/>
                <w:iCs/>
                <w:color w:val="000000"/>
                <w:sz w:val="18"/>
                <w:szCs w:val="18"/>
                <w:lang w:val="ro-MD"/>
              </w:rPr>
              <w:t>prag de marjă</w:t>
            </w:r>
            <w:r w:rsidRPr="004B3B1E">
              <w:rPr>
                <w:color w:val="000000"/>
                <w:sz w:val="18"/>
                <w:szCs w:val="18"/>
                <w:lang w:val="ro-MD"/>
              </w:rPr>
              <w:t xml:space="preserve"> - cea mai mare valoare pe care o poate atinge o expunere în curs, înainte ca o parte să aibă dreptul să solicite garanţii reale;</w:t>
            </w:r>
          </w:p>
          <w:p w14:paraId="71A430D6" w14:textId="77777777" w:rsidR="004B3B1E" w:rsidRPr="004B3B1E" w:rsidRDefault="004B3B1E" w:rsidP="004B3B1E">
            <w:pPr>
              <w:jc w:val="both"/>
              <w:rPr>
                <w:color w:val="000000"/>
                <w:sz w:val="18"/>
                <w:szCs w:val="18"/>
                <w:lang w:val="ro-MD"/>
              </w:rPr>
            </w:pPr>
            <w:r w:rsidRPr="004B3B1E">
              <w:rPr>
                <w:i/>
                <w:iCs/>
                <w:color w:val="000000"/>
                <w:sz w:val="18"/>
                <w:szCs w:val="18"/>
                <w:lang w:val="ro-MD"/>
              </w:rPr>
              <w:t>poziţie de risc</w:t>
            </w:r>
            <w:r w:rsidRPr="004B3B1E">
              <w:rPr>
                <w:color w:val="000000"/>
                <w:sz w:val="18"/>
                <w:szCs w:val="18"/>
                <w:lang w:val="ro-MD"/>
              </w:rPr>
              <w:t xml:space="preserve"> - o valoare de risc care este atribuită unei tranzacţii, pe baza unui algoritm predeterminat, în cadrul metodei standardizate prevăzute în capitolul III, ;</w:t>
            </w:r>
          </w:p>
          <w:p w14:paraId="42F28731" w14:textId="77777777" w:rsidR="004B3B1E" w:rsidRPr="004B3B1E" w:rsidRDefault="004B3B1E" w:rsidP="004B3B1E">
            <w:pPr>
              <w:jc w:val="both"/>
              <w:rPr>
                <w:color w:val="000000"/>
                <w:sz w:val="18"/>
                <w:szCs w:val="18"/>
                <w:lang w:val="ro-MD"/>
              </w:rPr>
            </w:pPr>
            <w:bookmarkStart w:id="4" w:name="_Hlk214547128"/>
            <w:r w:rsidRPr="004B3B1E">
              <w:rPr>
                <w:i/>
                <w:iCs/>
                <w:color w:val="000000"/>
                <w:sz w:val="18"/>
                <w:szCs w:val="18"/>
                <w:lang w:val="ro-MD"/>
              </w:rPr>
              <w:t>risc de credit al contrapărţii</w:t>
            </w:r>
            <w:r w:rsidRPr="004B3B1E">
              <w:rPr>
                <w:color w:val="000000"/>
                <w:sz w:val="18"/>
                <w:szCs w:val="18"/>
                <w:lang w:val="ro-MD"/>
              </w:rPr>
              <w:t xml:space="preserve"> </w:t>
            </w:r>
            <w:bookmarkEnd w:id="4"/>
            <w:r w:rsidRPr="004B3B1E">
              <w:rPr>
                <w:color w:val="000000"/>
                <w:sz w:val="18"/>
                <w:szCs w:val="18"/>
                <w:lang w:val="ro-MD"/>
              </w:rPr>
              <w:t>(CCR) - riscul ca o contraparte la o tranzacţie să intre în stare de nerambursare înainte de decontarea finală a fluxurilor de numerar aferente tranzacţiei;</w:t>
            </w:r>
          </w:p>
          <w:p w14:paraId="6D39299B" w14:textId="77777777" w:rsidR="004B3B1E" w:rsidRPr="004B3B1E" w:rsidRDefault="004B3B1E" w:rsidP="004B3B1E">
            <w:pPr>
              <w:jc w:val="both"/>
              <w:rPr>
                <w:color w:val="000000"/>
                <w:sz w:val="18"/>
                <w:szCs w:val="18"/>
                <w:lang w:val="ro-MD"/>
              </w:rPr>
            </w:pPr>
            <w:bookmarkStart w:id="5" w:name="_Hlk216795779"/>
            <w:r w:rsidRPr="004B3B1E">
              <w:rPr>
                <w:i/>
                <w:iCs/>
                <w:color w:val="000000"/>
                <w:sz w:val="18"/>
                <w:szCs w:val="18"/>
                <w:lang w:val="ro-MD"/>
              </w:rPr>
              <w:t>risc de reînnoire</w:t>
            </w:r>
            <w:r w:rsidRPr="004B3B1E">
              <w:rPr>
                <w:color w:val="000000"/>
                <w:sz w:val="18"/>
                <w:szCs w:val="18"/>
                <w:lang w:val="ro-MD"/>
              </w:rPr>
              <w:t xml:space="preserve"> - măsura în care expunerea pozitivă așteptată este subestimată, atunci când se prevede că tranzacţiile viitoare cu o contraparte se vor desfășura în mod continuu. Expunerea suplimentară generată de aceste tranzacţii viitoare nu se include în calculul expunerii pozitive așteptate;</w:t>
            </w:r>
          </w:p>
          <w:bookmarkEnd w:id="5"/>
          <w:p w14:paraId="44FE1219" w14:textId="77777777" w:rsidR="004B3B1E" w:rsidRPr="004B3B1E" w:rsidRDefault="004B3B1E" w:rsidP="004B3B1E">
            <w:pPr>
              <w:jc w:val="both"/>
              <w:rPr>
                <w:color w:val="000000"/>
                <w:sz w:val="18"/>
                <w:szCs w:val="18"/>
                <w:lang w:val="ro-MD"/>
              </w:rPr>
            </w:pPr>
            <w:r w:rsidRPr="004B3B1E">
              <w:rPr>
                <w:i/>
                <w:iCs/>
                <w:color w:val="000000"/>
                <w:sz w:val="18"/>
                <w:szCs w:val="18"/>
                <w:lang w:val="ro-MD"/>
              </w:rPr>
              <w:t>riscul general de corelare defavorabilă</w:t>
            </w:r>
            <w:r w:rsidRPr="004B3B1E">
              <w:rPr>
                <w:color w:val="000000"/>
                <w:sz w:val="18"/>
                <w:szCs w:val="18"/>
                <w:lang w:val="ro-MD"/>
              </w:rPr>
              <w:t xml:space="preserve"> - apare atunci când probabilitatea intrării în stare de nerambursare a contrapărții este corelată pozitiv cu factorii de risc de piață generali;</w:t>
            </w:r>
          </w:p>
          <w:p w14:paraId="62092D69" w14:textId="77777777" w:rsidR="004B3B1E" w:rsidRPr="004B3B1E" w:rsidRDefault="004B3B1E" w:rsidP="004B3B1E">
            <w:pPr>
              <w:jc w:val="both"/>
              <w:rPr>
                <w:color w:val="000000"/>
                <w:sz w:val="18"/>
                <w:szCs w:val="18"/>
                <w:lang w:val="ro-MD"/>
              </w:rPr>
            </w:pPr>
            <w:r w:rsidRPr="004B3B1E">
              <w:rPr>
                <w:i/>
                <w:iCs/>
                <w:color w:val="000000"/>
                <w:sz w:val="18"/>
                <w:szCs w:val="18"/>
                <w:lang w:val="ro-MD"/>
              </w:rPr>
              <w:lastRenderedPageBreak/>
              <w:t>riscul specific de corelare defavorabilă</w:t>
            </w:r>
            <w:r w:rsidRPr="004B3B1E">
              <w:rPr>
                <w:color w:val="000000"/>
                <w:sz w:val="18"/>
                <w:szCs w:val="18"/>
                <w:lang w:val="ro-MD"/>
              </w:rPr>
              <w:t xml:space="preserve"> - apare atunci când expunerea viitoare față de o anumită contraparte este corelată pozitiv cu PD a contrapărții, ca urmare a tipului de tranzacții efectuate cu contrapartea. Se consideră că banca este expusă unui risc specific de corelare defavorabilă în cazul în care este de așteptat ca expunerea viitoare față de o anumită contraparte să fie semnificativă atunci când probabilitatea de nerambursare de către contraparte este, de asemenea, ridicată.</w:t>
            </w:r>
          </w:p>
          <w:p w14:paraId="151FF74E" w14:textId="77777777" w:rsidR="004B3B1E" w:rsidRPr="004B3B1E" w:rsidRDefault="004B3B1E" w:rsidP="004B3B1E">
            <w:pPr>
              <w:jc w:val="both"/>
              <w:rPr>
                <w:color w:val="000000"/>
                <w:sz w:val="18"/>
                <w:szCs w:val="18"/>
                <w:lang w:val="ro-MD"/>
              </w:rPr>
            </w:pPr>
            <w:bookmarkStart w:id="6" w:name="_Hlk216792267"/>
            <w:r w:rsidRPr="004B3B1E">
              <w:rPr>
                <w:i/>
                <w:iCs/>
                <w:color w:val="000000"/>
                <w:sz w:val="18"/>
                <w:szCs w:val="18"/>
                <w:lang w:val="ro-MD"/>
              </w:rPr>
              <w:t xml:space="preserve">scadenţă efectivă - </w:t>
            </w:r>
            <w:r w:rsidRPr="004B3B1E">
              <w:rPr>
                <w:color w:val="000000"/>
                <w:sz w:val="18"/>
                <w:szCs w:val="18"/>
                <w:lang w:val="ro-MD"/>
              </w:rPr>
              <w:t>conform metodei modelului intern pentru un set de compensare cu scadenţa mai mare de un an înseamnă raportul dintre suma expunerilor așteptate pe durata de viaţă a tranzacţiilor din setul de compensare, actualizată cu rata randamentului fără risc, și suma expunerilor așteptate pe durata unui an în setul de compensare, actualizată cu rata randamentului fără risc. Scadenţa efectivă poate fi ajustată pentru a ţine seama de riscul de reînnoire, prin înlocuirea expunerii așteptate cu expunerea așteptată efectivă pentru orizonturi de previzionare mai mici de un an;</w:t>
            </w:r>
            <w:bookmarkEnd w:id="6"/>
            <w:r w:rsidRPr="004B3B1E">
              <w:rPr>
                <w:i/>
                <w:iCs/>
                <w:color w:val="000000"/>
                <w:sz w:val="18"/>
                <w:szCs w:val="18"/>
                <w:lang w:val="ro-MD"/>
              </w:rPr>
              <w:t>set de acoperire a riscului</w:t>
            </w:r>
            <w:r w:rsidRPr="004B3B1E">
              <w:rPr>
                <w:color w:val="000000"/>
                <w:sz w:val="18"/>
                <w:szCs w:val="18"/>
                <w:lang w:val="ro-MD"/>
              </w:rPr>
              <w:t xml:space="preserve"> - un grup de tranzacţii din cadrul unui singur set de compensare în cazul căruia compensarea integrală sau parţială este autorizată pentru determinarea expunerii viitoare potenţiale în conformitate cu metodele de calcul prevăzute în capitolul III sau IV;</w:t>
            </w:r>
          </w:p>
          <w:p w14:paraId="065F1CDE" w14:textId="77777777" w:rsidR="004B3B1E" w:rsidRPr="004B3B1E" w:rsidRDefault="004B3B1E" w:rsidP="004B3B1E">
            <w:pPr>
              <w:jc w:val="both"/>
              <w:rPr>
                <w:color w:val="000000"/>
                <w:sz w:val="18"/>
                <w:szCs w:val="18"/>
                <w:lang w:val="ro-MD"/>
              </w:rPr>
            </w:pPr>
            <w:r w:rsidRPr="004B3B1E">
              <w:rPr>
                <w:i/>
                <w:iCs/>
                <w:color w:val="000000"/>
                <w:sz w:val="18"/>
                <w:szCs w:val="18"/>
                <w:lang w:val="ro-MD"/>
              </w:rPr>
              <w:t>set de compensare</w:t>
            </w:r>
            <w:r w:rsidRPr="004B3B1E">
              <w:rPr>
                <w:color w:val="000000"/>
                <w:sz w:val="18"/>
                <w:szCs w:val="18"/>
                <w:lang w:val="ro-MD"/>
              </w:rPr>
              <w:t xml:space="preserve"> - un grup de tranzacţii între o bancă şi o singură contraparte, care face obiectul unui acord de compensare contractual executoriu din punct de vedere juridic şi recunoscut în conformitate cu capitolul VI şi cu capitolele III şi VI din Regulamentul cu privire la tehnicile de diminuare a riscului de credit utilizate de bănci, </w:t>
            </w:r>
            <w:bookmarkStart w:id="7" w:name="_Hlk214549420"/>
            <w:r w:rsidRPr="004B3B1E">
              <w:rPr>
                <w:color w:val="000000"/>
                <w:sz w:val="18"/>
                <w:szCs w:val="18"/>
                <w:lang w:val="ro-MD"/>
              </w:rPr>
              <w:t xml:space="preserve">aprobat prin Hotărârea Comitetului executiv al Băncii Naţionale a Moldovei nr.112/2018 </w:t>
            </w:r>
            <w:bookmarkEnd w:id="7"/>
            <w:r w:rsidRPr="004B3B1E">
              <w:rPr>
                <w:color w:val="000000"/>
                <w:sz w:val="18"/>
                <w:szCs w:val="18"/>
                <w:lang w:val="ro-MD"/>
              </w:rPr>
              <w:t xml:space="preserve">(în continuare – Regulamentul nr.112/2018). Orice tranzacţie care nu face obiectul unui acord de compensare contractual executoriu din punct de vedere juridic şi recunoscut în conformitate cu capitolul VI din Regulamentul nr.112/2018 va fi tratată ca fiind ea însăşi un set de compensare. </w:t>
            </w:r>
            <w:bookmarkStart w:id="8" w:name="_Hlk215580290"/>
            <w:r w:rsidRPr="004B3B1E">
              <w:rPr>
                <w:color w:val="000000"/>
                <w:sz w:val="18"/>
                <w:szCs w:val="18"/>
                <w:lang w:val="ro-MD"/>
              </w:rPr>
              <w:t xml:space="preserve">În cadrul metodei modelului intern prevăzută în capitolul IX, toate seturile de compensare cu o singură contraparte pot fi tratate ca un singur set de compensare, dacă valorile de piață simulate </w:t>
            </w:r>
            <w:r w:rsidRPr="004B3B1E">
              <w:rPr>
                <w:color w:val="000000"/>
                <w:sz w:val="18"/>
                <w:szCs w:val="18"/>
                <w:lang w:val="ro-MD"/>
              </w:rPr>
              <w:lastRenderedPageBreak/>
              <w:t>negative ale fiecărui set de compensare sunt stabilite la 0 în estimarea expunerii așteptate (EE);</w:t>
            </w:r>
          </w:p>
          <w:bookmarkEnd w:id="8"/>
          <w:p w14:paraId="09E3269A" w14:textId="77777777" w:rsidR="004B3B1E" w:rsidRPr="004B3B1E" w:rsidRDefault="004B3B1E" w:rsidP="004B3B1E">
            <w:pPr>
              <w:jc w:val="both"/>
              <w:rPr>
                <w:color w:val="000000"/>
                <w:sz w:val="18"/>
                <w:szCs w:val="18"/>
                <w:lang w:val="ro-MD"/>
              </w:rPr>
            </w:pPr>
            <w:r w:rsidRPr="004B3B1E">
              <w:rPr>
                <w:i/>
                <w:iCs/>
                <w:color w:val="000000"/>
                <w:sz w:val="18"/>
                <w:szCs w:val="18"/>
                <w:lang w:val="ro-MD"/>
              </w:rPr>
              <w:t>segment de plată</w:t>
            </w:r>
            <w:r w:rsidRPr="004B3B1E">
              <w:rPr>
                <w:color w:val="000000"/>
                <w:sz w:val="18"/>
                <w:szCs w:val="18"/>
                <w:lang w:val="ro-MD"/>
              </w:rPr>
              <w:t xml:space="preserve"> - plata convenită la o tranzacţie cu un instrument financiar derivat extrabursier, care are un profil de risc liniar şi prevede schimbul unui instrument financiar contra unei plăţi. În cazul tranzacţiilor care prevăd schimbul unei plăţi contra altei plăţi, aceste două segmente de plată constau în plăţi brute convenite prin contract, incluzând valoarea noţională a tranzacţiei;</w:t>
            </w:r>
          </w:p>
          <w:p w14:paraId="6A4C8D07" w14:textId="77777777" w:rsidR="004B3B1E" w:rsidRPr="004B3B1E" w:rsidRDefault="004B3B1E" w:rsidP="004B3B1E">
            <w:pPr>
              <w:jc w:val="both"/>
              <w:rPr>
                <w:color w:val="000000"/>
                <w:sz w:val="18"/>
                <w:szCs w:val="18"/>
                <w:lang w:val="ro-MD"/>
              </w:rPr>
            </w:pPr>
            <w:r w:rsidRPr="004B3B1E">
              <w:rPr>
                <w:i/>
                <w:iCs/>
                <w:color w:val="000000"/>
                <w:sz w:val="18"/>
                <w:szCs w:val="18"/>
                <w:lang w:val="ro-MD"/>
              </w:rPr>
              <w:t>structură a clientelei pe mai multe niveluri</w:t>
            </w:r>
            <w:r w:rsidRPr="004B3B1E">
              <w:rPr>
                <w:color w:val="000000"/>
                <w:sz w:val="18"/>
                <w:szCs w:val="18"/>
                <w:lang w:val="ro-MD"/>
              </w:rPr>
              <w:t xml:space="preserve"> - un mecanism indirect de compensare în temeiul căruia unei bănci îi sunt furnizate servicii de compensare de către o entitate care nu este un membru compensator, ci este la rândul său client al unui membru compensator sau al unui client de nivel superior;</w:t>
            </w:r>
          </w:p>
          <w:p w14:paraId="15CB3065" w14:textId="77777777" w:rsidR="004B3B1E" w:rsidRPr="004B3B1E" w:rsidRDefault="004B3B1E" w:rsidP="004B3B1E">
            <w:pPr>
              <w:jc w:val="both"/>
              <w:rPr>
                <w:color w:val="000000"/>
                <w:sz w:val="18"/>
                <w:szCs w:val="18"/>
                <w:lang w:val="ro-MD"/>
              </w:rPr>
            </w:pPr>
            <w:r w:rsidRPr="004B3B1E">
              <w:rPr>
                <w:i/>
                <w:iCs/>
                <w:color w:val="000000"/>
                <w:sz w:val="18"/>
                <w:szCs w:val="18"/>
                <w:lang w:val="ro-MD"/>
              </w:rPr>
              <w:t>suma independentă netă a garanţiilor reale</w:t>
            </w:r>
            <w:r w:rsidRPr="004B3B1E">
              <w:rPr>
                <w:color w:val="000000"/>
                <w:sz w:val="18"/>
                <w:szCs w:val="18"/>
                <w:lang w:val="ro-MD"/>
              </w:rPr>
              <w:t xml:space="preserve"> (NICA) - suma valorilor ajustate în funcţie de volatilitate ale garanţiilor reale nete primite sau furnizate, după caz, în cadrul setului de compensare, altele decât marja de variaţie;</w:t>
            </w:r>
          </w:p>
          <w:p w14:paraId="2F0C46EB" w14:textId="77777777" w:rsidR="004B3B1E" w:rsidRPr="004B3B1E" w:rsidRDefault="004B3B1E" w:rsidP="004B3B1E">
            <w:pPr>
              <w:jc w:val="both"/>
              <w:rPr>
                <w:color w:val="000000"/>
                <w:sz w:val="18"/>
                <w:szCs w:val="18"/>
                <w:lang w:val="ro-MD"/>
              </w:rPr>
            </w:pPr>
            <w:r w:rsidRPr="004B3B1E">
              <w:rPr>
                <w:i/>
                <w:iCs/>
                <w:color w:val="000000"/>
                <w:sz w:val="18"/>
                <w:szCs w:val="18"/>
                <w:lang w:val="ro-MD"/>
              </w:rPr>
              <w:t>tranzacţii cu termen lung de decontare</w:t>
            </w:r>
            <w:r w:rsidRPr="004B3B1E">
              <w:rPr>
                <w:color w:val="000000"/>
                <w:sz w:val="18"/>
                <w:szCs w:val="18"/>
                <w:lang w:val="ro-MD"/>
              </w:rPr>
              <w:t xml:space="preserve"> - tranzacţii în care o contraparte se angajează să livreze un titlu, o marfă sau o sumă în valută contra numerar, alte instrumente financiare sau mărfuri, sau invers, la o dată de decontare sau de livrare, specificată prin contract, care depăşeşte durata standard pe piaţă pentru acest tip particular de tranzacţie sau 5 zile lucrătoare de la data la care banca a intrat în tranzacţie, dacă această a doua durată este mai scurtă;</w:t>
            </w:r>
          </w:p>
          <w:p w14:paraId="05097001" w14:textId="77777777" w:rsidR="004B3B1E" w:rsidRPr="004B3B1E" w:rsidRDefault="004B3B1E" w:rsidP="004B3B1E">
            <w:pPr>
              <w:jc w:val="both"/>
              <w:rPr>
                <w:color w:val="000000"/>
                <w:sz w:val="18"/>
                <w:szCs w:val="18"/>
                <w:lang w:val="ro-MD"/>
              </w:rPr>
            </w:pPr>
            <w:r w:rsidRPr="004B3B1E">
              <w:rPr>
                <w:i/>
                <w:iCs/>
                <w:color w:val="000000"/>
                <w:sz w:val="18"/>
                <w:szCs w:val="18"/>
                <w:lang w:val="ro-MD"/>
              </w:rPr>
              <w:t>tranzacţii de creditare în marjă</w:t>
            </w:r>
            <w:r w:rsidRPr="004B3B1E">
              <w:rPr>
                <w:color w:val="000000"/>
                <w:sz w:val="18"/>
                <w:szCs w:val="18"/>
                <w:lang w:val="ro-MD"/>
              </w:rPr>
              <w:t xml:space="preserve"> - tranzacţii în care banca acordă credit în legătură cu achiziţionarea, vânzarea, deţinerea sau tranzacţionarea de titluri. Tranzacţiile de creditare în marjă nu includ alte împrumuturi care sunt acoperite cu garanţii reale sub formă de titluri;</w:t>
            </w:r>
          </w:p>
          <w:p w14:paraId="561A868B" w14:textId="77777777" w:rsidR="004B3B1E" w:rsidRPr="004B3B1E" w:rsidRDefault="004B3B1E" w:rsidP="004B3B1E">
            <w:pPr>
              <w:jc w:val="both"/>
              <w:rPr>
                <w:color w:val="000000"/>
                <w:sz w:val="18"/>
                <w:szCs w:val="18"/>
                <w:lang w:val="ro-MD"/>
              </w:rPr>
            </w:pPr>
            <w:r w:rsidRPr="004B3B1E">
              <w:rPr>
                <w:i/>
                <w:iCs/>
                <w:color w:val="000000"/>
                <w:sz w:val="18"/>
                <w:szCs w:val="18"/>
                <w:lang w:val="ro-MD"/>
              </w:rPr>
              <w:t>tranzacţie de dare sau luare cu împrumut de depozite garantată integral</w:t>
            </w:r>
            <w:r w:rsidRPr="004B3B1E">
              <w:rPr>
                <w:color w:val="000000"/>
                <w:sz w:val="18"/>
                <w:szCs w:val="18"/>
                <w:lang w:val="ro-MD"/>
              </w:rPr>
              <w:t xml:space="preserve"> - o tranzacţie de piaţă monetară acoperită integral cu garanţii reale în cadrul căreia două contrapărţi fac schimb de depozite şi o CPC se interpune între acestea pentru a asigura executarea obligaţiilor de plată ale contrapărţilor respective;</w:t>
            </w:r>
          </w:p>
          <w:p w14:paraId="52A85478" w14:textId="77777777" w:rsidR="004B3B1E" w:rsidRPr="004B3B1E" w:rsidRDefault="004B3B1E" w:rsidP="004B3B1E">
            <w:pPr>
              <w:jc w:val="both"/>
              <w:rPr>
                <w:color w:val="000000"/>
                <w:sz w:val="18"/>
                <w:szCs w:val="18"/>
                <w:lang w:val="ro-MD"/>
              </w:rPr>
            </w:pPr>
            <w:r w:rsidRPr="004B3B1E">
              <w:rPr>
                <w:i/>
                <w:iCs/>
                <w:color w:val="000000"/>
                <w:sz w:val="18"/>
                <w:szCs w:val="18"/>
                <w:lang w:val="ro-MD"/>
              </w:rPr>
              <w:lastRenderedPageBreak/>
              <w:t>tranzacţie legată de o CPC</w:t>
            </w:r>
            <w:r w:rsidRPr="004B3B1E">
              <w:rPr>
                <w:color w:val="000000"/>
                <w:sz w:val="18"/>
                <w:szCs w:val="18"/>
                <w:lang w:val="ro-MD"/>
              </w:rPr>
              <w:t xml:space="preserve"> - un contract sau o tranzacţie, enumerată la punctul 125, între un client şi un membru compensator care este direct legată de un contract sau de o tranzacţie enumerată la punctul respectiv între membrul compensator respectiv şi o CPC;</w:t>
            </w:r>
          </w:p>
          <w:p w14:paraId="1EBD4E7F" w14:textId="77777777" w:rsidR="004B3B1E" w:rsidRPr="004B3B1E" w:rsidRDefault="004B3B1E" w:rsidP="004B3B1E">
            <w:pPr>
              <w:jc w:val="both"/>
              <w:rPr>
                <w:color w:val="000000"/>
                <w:sz w:val="18"/>
                <w:szCs w:val="18"/>
                <w:lang w:val="ro-MD"/>
              </w:rPr>
            </w:pPr>
            <w:r w:rsidRPr="004B3B1E">
              <w:rPr>
                <w:i/>
                <w:iCs/>
                <w:color w:val="000000"/>
                <w:sz w:val="18"/>
                <w:szCs w:val="18"/>
                <w:lang w:val="ro-MD"/>
              </w:rPr>
              <w:t>tranzacţie în numerar</w:t>
            </w:r>
            <w:r w:rsidRPr="004B3B1E">
              <w:rPr>
                <w:color w:val="000000"/>
                <w:sz w:val="18"/>
                <w:szCs w:val="18"/>
                <w:lang w:val="ro-MD"/>
              </w:rPr>
              <w:t xml:space="preserve"> - tranzacţie cu numerar, titluri de datorie sau titluri de capital, o tranzacţie de schimb valutar la vedere sau o tranzacţie cu mărfuri la vedere; cu toate acestea, tranzacţiile de răscumpărare, tranzacţiile de dare cu împrumut de titluri de valoare sau de mărfuri şi tranzacţiile de luare cu împrumut de titluri de valoare sau de mărfuri nu sunt tranzacţii în numerar;</w:t>
            </w:r>
          </w:p>
          <w:p w14:paraId="5F791BE0" w14:textId="77777777" w:rsidR="004B3B1E" w:rsidRPr="004B3B1E" w:rsidRDefault="004B3B1E" w:rsidP="004B3B1E">
            <w:pPr>
              <w:jc w:val="both"/>
              <w:rPr>
                <w:color w:val="000000"/>
                <w:sz w:val="18"/>
                <w:szCs w:val="18"/>
                <w:lang w:val="ro-MD"/>
              </w:rPr>
            </w:pPr>
            <w:r w:rsidRPr="004B3B1E">
              <w:rPr>
                <w:i/>
                <w:iCs/>
                <w:color w:val="000000"/>
                <w:sz w:val="18"/>
                <w:szCs w:val="18"/>
                <w:lang w:val="ro-MD"/>
              </w:rPr>
              <w:t>valoarea de piaţă curentă (CMV)</w:t>
            </w:r>
            <w:r w:rsidRPr="004B3B1E">
              <w:rPr>
                <w:color w:val="000000"/>
                <w:sz w:val="18"/>
                <w:szCs w:val="18"/>
                <w:lang w:val="ro-MD"/>
              </w:rPr>
              <w:t xml:space="preserve"> - înseamnă valoarea netă de piaţă a tuturor tranzacţiilor din cadrul unui set de compensare înainte de deducerea oricărei garanţii reale deţinute sau furnizate, valorile de piaţă pozitive fiind compensate cu cele negative la calcularea CMV.</w:t>
            </w:r>
          </w:p>
          <w:p w14:paraId="56F80BA4" w14:textId="5DA07418" w:rsidR="001A4DE8" w:rsidRPr="008070DB" w:rsidRDefault="001A4DE8" w:rsidP="004B3B1E">
            <w:pPr>
              <w:jc w:val="both"/>
              <w:rPr>
                <w:color w:val="000000"/>
                <w:sz w:val="18"/>
                <w:szCs w:val="18"/>
                <w:lang w:val="ro-MD"/>
              </w:rPr>
            </w:pPr>
          </w:p>
        </w:tc>
        <w:tc>
          <w:tcPr>
            <w:tcW w:w="1554" w:type="dxa"/>
          </w:tcPr>
          <w:p w14:paraId="04E380CD" w14:textId="0A859099" w:rsidR="001A4DE8" w:rsidRPr="00A96E09" w:rsidRDefault="004B3B1E" w:rsidP="00C14AF6">
            <w:pPr>
              <w:jc w:val="both"/>
              <w:rPr>
                <w:sz w:val="18"/>
                <w:szCs w:val="18"/>
                <w:lang w:val="ro-MD"/>
              </w:rPr>
            </w:pPr>
            <w:r>
              <w:rPr>
                <w:sz w:val="18"/>
                <w:szCs w:val="18"/>
                <w:lang w:val="ro-MD"/>
              </w:rPr>
              <w:lastRenderedPageBreak/>
              <w:t>C</w:t>
            </w:r>
            <w:r w:rsidR="001A4DE8" w:rsidRPr="00A96E09">
              <w:rPr>
                <w:sz w:val="18"/>
                <w:szCs w:val="18"/>
                <w:lang w:val="ro-MD"/>
              </w:rPr>
              <w:t>ompatibil</w:t>
            </w:r>
          </w:p>
        </w:tc>
        <w:tc>
          <w:tcPr>
            <w:tcW w:w="4683" w:type="dxa"/>
            <w:tcBorders>
              <w:top w:val="single" w:sz="4" w:space="0" w:color="auto"/>
              <w:bottom w:val="single" w:sz="4" w:space="0" w:color="auto"/>
            </w:tcBorders>
          </w:tcPr>
          <w:p w14:paraId="39152E26" w14:textId="77777777" w:rsidR="001A4DE8" w:rsidRPr="00A96E09" w:rsidRDefault="001A4DE8" w:rsidP="00C14AF6">
            <w:pPr>
              <w:jc w:val="both"/>
              <w:rPr>
                <w:sz w:val="18"/>
                <w:szCs w:val="18"/>
                <w:lang w:val="ro-MD"/>
              </w:rPr>
            </w:pPr>
          </w:p>
        </w:tc>
      </w:tr>
      <w:tr w:rsidR="001A4DE8" w:rsidRPr="00A96E09" w14:paraId="79BF277E" w14:textId="77777777" w:rsidTr="00C14AF6">
        <w:trPr>
          <w:trHeight w:val="918"/>
        </w:trPr>
        <w:tc>
          <w:tcPr>
            <w:tcW w:w="3866" w:type="dxa"/>
          </w:tcPr>
          <w:p w14:paraId="44307CE8" w14:textId="77777777" w:rsidR="001A4DE8" w:rsidRPr="00A96E09" w:rsidRDefault="001A4DE8" w:rsidP="003456B0">
            <w:pPr>
              <w:pStyle w:val="title-article-norm"/>
              <w:jc w:val="both"/>
              <w:rPr>
                <w:i w:val="0"/>
                <w:sz w:val="18"/>
                <w:szCs w:val="18"/>
                <w:lang w:val="ro-MD"/>
              </w:rPr>
            </w:pPr>
            <w:r w:rsidRPr="00A96E09">
              <w:rPr>
                <w:i w:val="0"/>
                <w:sz w:val="18"/>
                <w:szCs w:val="18"/>
                <w:lang w:val="ro-MD"/>
              </w:rPr>
              <w:lastRenderedPageBreak/>
              <w:t>Secțiunea  2</w:t>
            </w:r>
          </w:p>
          <w:p w14:paraId="1334AA93" w14:textId="77777777" w:rsidR="001A4DE8" w:rsidRPr="00A96E09" w:rsidRDefault="001A4DE8" w:rsidP="003456B0">
            <w:pPr>
              <w:pStyle w:val="title-article-norm"/>
              <w:jc w:val="both"/>
              <w:rPr>
                <w:b/>
                <w:i w:val="0"/>
                <w:sz w:val="18"/>
                <w:szCs w:val="18"/>
                <w:lang w:val="ro-MD"/>
              </w:rPr>
            </w:pPr>
            <w:r w:rsidRPr="00A96E09">
              <w:rPr>
                <w:b/>
                <w:i w:val="0"/>
                <w:sz w:val="18"/>
                <w:szCs w:val="18"/>
                <w:lang w:val="ro-MD"/>
              </w:rPr>
              <w:t>Metode  de  calcul al  valorii  expunerii</w:t>
            </w:r>
          </w:p>
          <w:p w14:paraId="66807828" w14:textId="77777777" w:rsidR="001A4DE8" w:rsidRPr="00A96E09" w:rsidRDefault="001A4DE8" w:rsidP="003456B0">
            <w:pPr>
              <w:pStyle w:val="title-article-norm"/>
              <w:jc w:val="both"/>
              <w:rPr>
                <w:i w:val="0"/>
                <w:sz w:val="18"/>
                <w:szCs w:val="18"/>
                <w:lang w:val="ro-MD"/>
              </w:rPr>
            </w:pPr>
            <w:r w:rsidRPr="00A96E09">
              <w:rPr>
                <w:sz w:val="18"/>
                <w:szCs w:val="18"/>
                <w:lang w:val="ro-MD"/>
              </w:rPr>
              <w:t>Articolul 273</w:t>
            </w:r>
            <w:r w:rsidRPr="00A96E09">
              <w:rPr>
                <w:i w:val="0"/>
                <w:sz w:val="18"/>
                <w:szCs w:val="18"/>
                <w:lang w:val="ro-MD"/>
              </w:rPr>
              <w:t xml:space="preserve"> </w:t>
            </w:r>
            <w:r w:rsidRPr="00A96E09">
              <w:rPr>
                <w:b/>
                <w:i w:val="0"/>
                <w:sz w:val="18"/>
                <w:szCs w:val="18"/>
                <w:lang w:val="ro-MD"/>
              </w:rPr>
              <w:t>Metode de calcul al valorii expunerii</w:t>
            </w:r>
            <w:r w:rsidRPr="00A96E09">
              <w:rPr>
                <w:i w:val="0"/>
                <w:sz w:val="18"/>
                <w:szCs w:val="18"/>
                <w:lang w:val="ro-MD"/>
              </w:rPr>
              <w:t xml:space="preserve"> </w:t>
            </w:r>
          </w:p>
          <w:p w14:paraId="698E7D8E" w14:textId="77777777" w:rsidR="001A4DE8" w:rsidRPr="00A96E09" w:rsidRDefault="001A4DE8" w:rsidP="003456B0">
            <w:pPr>
              <w:pStyle w:val="title-article-norm"/>
              <w:numPr>
                <w:ilvl w:val="0"/>
                <w:numId w:val="9"/>
              </w:numPr>
              <w:tabs>
                <w:tab w:val="left" w:pos="334"/>
              </w:tabs>
              <w:ind w:left="0" w:firstLine="0"/>
              <w:jc w:val="both"/>
              <w:rPr>
                <w:i w:val="0"/>
                <w:sz w:val="18"/>
                <w:szCs w:val="18"/>
                <w:lang w:val="ro-MD"/>
              </w:rPr>
            </w:pPr>
            <w:r w:rsidRPr="00A96E09">
              <w:rPr>
                <w:i w:val="0"/>
                <w:sz w:val="18"/>
                <w:szCs w:val="18"/>
                <w:lang w:val="ro-MD"/>
              </w:rPr>
              <w:t xml:space="preserve">Instituțiile calculează valoarea expunerii pentru contractele menționate în anexa II pe baza uneia dintre metodele prevăzute în secțiunile 3-6, în conformitate cu prezentul articol. </w:t>
            </w:r>
          </w:p>
          <w:p w14:paraId="1A73A76D" w14:textId="77777777" w:rsidR="001A4DE8" w:rsidRPr="00A96E09" w:rsidRDefault="001A4DE8" w:rsidP="003456B0">
            <w:pPr>
              <w:pStyle w:val="title-article-norm"/>
              <w:jc w:val="both"/>
              <w:rPr>
                <w:i w:val="0"/>
                <w:sz w:val="18"/>
                <w:szCs w:val="18"/>
              </w:rPr>
            </w:pPr>
            <w:r w:rsidRPr="00A96E09">
              <w:rPr>
                <w:i w:val="0"/>
                <w:sz w:val="18"/>
                <w:szCs w:val="18"/>
              </w:rPr>
              <w:t xml:space="preserve">O instituţie care nu îndeplinește condiţiile prevăzute la articolul 273a alineatul (1) nu utilizează metoda prevăzută în secţiunea 4. O instituţie care nu îndeplinește condiţiile prevăzute </w:t>
            </w:r>
            <w:r w:rsidRPr="00A96E09">
              <w:rPr>
                <w:i w:val="0"/>
                <w:sz w:val="18"/>
                <w:szCs w:val="18"/>
              </w:rPr>
              <w:lastRenderedPageBreak/>
              <w:t>la articolul 273a alineatul (2) nu utilizează metoda prevăzută în secţiunea 5.</w:t>
            </w:r>
          </w:p>
          <w:p w14:paraId="61EAB738" w14:textId="77C146EC" w:rsidR="001A4DE8" w:rsidRPr="00A96E09" w:rsidRDefault="001A4DE8" w:rsidP="003456B0">
            <w:pPr>
              <w:pStyle w:val="title-article-norm"/>
              <w:jc w:val="both"/>
              <w:rPr>
                <w:i w:val="0"/>
                <w:sz w:val="18"/>
                <w:szCs w:val="18"/>
                <w:lang w:val="ro-MD"/>
              </w:rPr>
            </w:pPr>
            <w:r w:rsidRPr="00A96E09">
              <w:rPr>
                <w:i w:val="0"/>
                <w:sz w:val="18"/>
                <w:szCs w:val="18"/>
                <w:lang w:val="ro-MD"/>
              </w:rPr>
              <w:t>Instituțiile pot utiliza combinat metodele prevăzute în secțiunile 3-6, în mod permanent, în cadrul unui grup. O instituție individuală nu utilizează combinat</w:t>
            </w:r>
            <w:r w:rsidR="00AE77F7" w:rsidRPr="00A96E09">
              <w:rPr>
                <w:i w:val="0"/>
                <w:sz w:val="18"/>
                <w:szCs w:val="18"/>
                <w:lang w:val="ro-MD"/>
              </w:rPr>
              <w:t xml:space="preserve"> </w:t>
            </w:r>
            <w:r w:rsidRPr="00A96E09">
              <w:rPr>
                <w:i w:val="0"/>
                <w:sz w:val="18"/>
                <w:szCs w:val="18"/>
                <w:lang w:val="ro-MD"/>
              </w:rPr>
              <w:t xml:space="preserve">metodele prevăzute în secțiunile 3-6 în mod permanent. </w:t>
            </w:r>
          </w:p>
          <w:p w14:paraId="2FD1F848" w14:textId="77777777" w:rsidR="001A4DE8" w:rsidRPr="00A96E09" w:rsidRDefault="001A4DE8" w:rsidP="003456B0">
            <w:pPr>
              <w:pStyle w:val="CM4"/>
              <w:spacing w:after="120"/>
              <w:jc w:val="both"/>
              <w:rPr>
                <w:rFonts w:ascii="Times New Roman" w:hAnsi="Times New Roman"/>
                <w:sz w:val="18"/>
                <w:szCs w:val="18"/>
                <w:lang w:val="ro-MD"/>
              </w:rPr>
            </w:pPr>
          </w:p>
        </w:tc>
        <w:tc>
          <w:tcPr>
            <w:tcW w:w="4356" w:type="dxa"/>
          </w:tcPr>
          <w:p w14:paraId="0483C925" w14:textId="77777777" w:rsidR="001A4DE8" w:rsidRPr="008070DB" w:rsidRDefault="001A4DE8" w:rsidP="003456B0">
            <w:pPr>
              <w:pStyle w:val="CM4"/>
              <w:tabs>
                <w:tab w:val="left" w:pos="150"/>
              </w:tabs>
              <w:ind w:left="-43"/>
              <w:jc w:val="both"/>
              <w:rPr>
                <w:rFonts w:ascii="Times New Roman" w:hAnsi="Times New Roman"/>
                <w:b/>
                <w:iCs/>
                <w:sz w:val="18"/>
                <w:szCs w:val="18"/>
                <w:lang w:val="ro-MD"/>
              </w:rPr>
            </w:pPr>
            <w:r w:rsidRPr="008070DB">
              <w:rPr>
                <w:rFonts w:ascii="Times New Roman" w:hAnsi="Times New Roman"/>
                <w:b/>
                <w:iCs/>
                <w:sz w:val="18"/>
                <w:szCs w:val="18"/>
                <w:lang w:val="ro-MD"/>
              </w:rPr>
              <w:lastRenderedPageBreak/>
              <w:t xml:space="preserve">Capitolul II. Metode de calcul al valorii expunerii </w:t>
            </w:r>
          </w:p>
          <w:p w14:paraId="4EC85633" w14:textId="77777777" w:rsidR="001A4DE8" w:rsidRPr="008070DB" w:rsidRDefault="001A4DE8" w:rsidP="003456B0">
            <w:pPr>
              <w:jc w:val="both"/>
              <w:rPr>
                <w:i/>
                <w:iCs/>
                <w:sz w:val="18"/>
                <w:szCs w:val="18"/>
                <w:lang w:val="ro-MD" w:eastAsia="en-US"/>
              </w:rPr>
            </w:pPr>
            <w:r w:rsidRPr="008070DB">
              <w:rPr>
                <w:i/>
                <w:iCs/>
                <w:sz w:val="18"/>
                <w:szCs w:val="18"/>
                <w:lang w:val="ro-MD" w:eastAsia="en-US"/>
              </w:rPr>
              <w:t>Secțiunea a 2-a</w:t>
            </w:r>
          </w:p>
          <w:p w14:paraId="769FC07C" w14:textId="5966BA68" w:rsidR="001A4DE8" w:rsidRPr="008070DB" w:rsidRDefault="001A4DE8" w:rsidP="003456B0">
            <w:pPr>
              <w:jc w:val="both"/>
              <w:rPr>
                <w:b/>
                <w:bCs/>
                <w:sz w:val="18"/>
                <w:szCs w:val="18"/>
                <w:lang w:val="ro-MD" w:eastAsia="en-US"/>
              </w:rPr>
            </w:pPr>
            <w:r w:rsidRPr="008070DB">
              <w:rPr>
                <w:b/>
                <w:bCs/>
                <w:sz w:val="18"/>
                <w:szCs w:val="18"/>
                <w:lang w:val="ro-MD" w:eastAsia="en-US"/>
              </w:rPr>
              <w:t xml:space="preserve">Metode de calcul </w:t>
            </w:r>
          </w:p>
          <w:p w14:paraId="1A547326" w14:textId="77777777" w:rsidR="00BC4A1F" w:rsidRPr="008070DB" w:rsidRDefault="00BC4A1F" w:rsidP="003456B0">
            <w:pPr>
              <w:tabs>
                <w:tab w:val="left" w:pos="279"/>
              </w:tabs>
              <w:jc w:val="both"/>
              <w:rPr>
                <w:sz w:val="18"/>
                <w:szCs w:val="18"/>
                <w:lang w:val="ro-MD"/>
              </w:rPr>
            </w:pPr>
            <w:r w:rsidRPr="008070DB">
              <w:rPr>
                <w:b/>
                <w:bCs/>
                <w:sz w:val="18"/>
                <w:szCs w:val="18"/>
                <w:lang w:val="ro-MD"/>
              </w:rPr>
              <w:t>6.</w:t>
            </w:r>
            <w:r w:rsidRPr="008070DB">
              <w:rPr>
                <w:b/>
                <w:bCs/>
                <w:sz w:val="18"/>
                <w:szCs w:val="18"/>
                <w:lang w:val="ro-MD"/>
              </w:rPr>
              <w:tab/>
            </w:r>
            <w:r w:rsidRPr="008070DB">
              <w:rPr>
                <w:sz w:val="18"/>
                <w:szCs w:val="18"/>
                <w:lang w:val="ro-MD"/>
              </w:rPr>
              <w:t>Banca calculează valoarea expunerii pentru contractele menţionate în anexa nr.1 la Regulamentul cu privire la tratamentul riscului de piaţă potrivit abordării standardizate, aprobat prin Hotărârea</w:t>
            </w:r>
            <w:r w:rsidRPr="008070DB">
              <w:rPr>
                <w:b/>
                <w:bCs/>
                <w:sz w:val="18"/>
                <w:szCs w:val="18"/>
                <w:lang w:val="ro-MD"/>
              </w:rPr>
              <w:t xml:space="preserve"> </w:t>
            </w:r>
            <w:r w:rsidRPr="008070DB">
              <w:rPr>
                <w:sz w:val="18"/>
                <w:szCs w:val="18"/>
                <w:lang w:val="ro-MD"/>
              </w:rPr>
              <w:t>Comitetului executiv al Băncii Naționale a Moldovei nr. 114/2018 (în continuare – Regulamentul nr. 114/2018), pe baza uneia dintre metodele prevăzute în capitolele III-V şi în conformitate cu prezentul capitol.</w:t>
            </w:r>
          </w:p>
          <w:p w14:paraId="34D243F5" w14:textId="77777777" w:rsidR="00BC4A1F" w:rsidRPr="008070DB" w:rsidRDefault="00BC4A1F" w:rsidP="003456B0">
            <w:pPr>
              <w:tabs>
                <w:tab w:val="left" w:pos="421"/>
              </w:tabs>
              <w:jc w:val="both"/>
              <w:rPr>
                <w:sz w:val="18"/>
                <w:szCs w:val="18"/>
                <w:lang w:val="ro-MD"/>
              </w:rPr>
            </w:pPr>
            <w:r w:rsidRPr="008070DB">
              <w:rPr>
                <w:b/>
                <w:bCs/>
                <w:sz w:val="18"/>
                <w:szCs w:val="18"/>
                <w:lang w:val="ro-MD"/>
              </w:rPr>
              <w:t>7.</w:t>
            </w:r>
            <w:r w:rsidRPr="008070DB">
              <w:rPr>
                <w:sz w:val="18"/>
                <w:szCs w:val="18"/>
                <w:lang w:val="ro-MD"/>
              </w:rPr>
              <w:tab/>
              <w:t>Banca care nu îndeplinește condiţiile prevăzute la punctul 20 nu utilizează metoda prevăzută în capitolul IV. Banca care nu îndeplinește condiţiile prevăzute la punctul 21 nu utilizează metoda prevăzută în capitolul V.</w:t>
            </w:r>
          </w:p>
          <w:p w14:paraId="0185EEF7" w14:textId="77777777" w:rsidR="00BC4A1F" w:rsidRPr="008070DB" w:rsidRDefault="00BC4A1F" w:rsidP="003456B0">
            <w:pPr>
              <w:tabs>
                <w:tab w:val="left" w:pos="279"/>
              </w:tabs>
              <w:jc w:val="both"/>
              <w:rPr>
                <w:sz w:val="18"/>
                <w:szCs w:val="18"/>
                <w:lang w:val="ro-MD"/>
              </w:rPr>
            </w:pPr>
            <w:r w:rsidRPr="008070DB">
              <w:rPr>
                <w:b/>
                <w:bCs/>
                <w:sz w:val="18"/>
                <w:szCs w:val="18"/>
                <w:lang w:val="ro-MD"/>
              </w:rPr>
              <w:t>8.</w:t>
            </w:r>
            <w:r w:rsidRPr="008070DB">
              <w:rPr>
                <w:sz w:val="18"/>
                <w:szCs w:val="18"/>
                <w:lang w:val="ro-MD"/>
              </w:rPr>
              <w:tab/>
              <w:t>Banca nu trebuie să utilizeze combinat metodele prevăzute în capitolele III-V în mod permanent.</w:t>
            </w:r>
          </w:p>
          <w:p w14:paraId="51577475" w14:textId="0A2D2EDC" w:rsidR="001A4DE8" w:rsidRPr="008070DB" w:rsidRDefault="00BC4A1F"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9.</w:t>
            </w:r>
            <w:r w:rsidRPr="008070DB">
              <w:rPr>
                <w:rFonts w:ascii="Times New Roman" w:hAnsi="Times New Roman" w:cs="Times New Roman"/>
                <w:sz w:val="18"/>
                <w:szCs w:val="18"/>
                <w:lang w:val="ro-MD"/>
              </w:rPr>
              <w:tab/>
              <w:t xml:space="preserve">Prin derogare, băncile pot utiliza combinat metodele prevăzute în capitolele III-V, în mod permanent, în cadrul unui grup astfel cum este definit în Legea nr.250/2017 cu </w:t>
            </w:r>
            <w:r w:rsidRPr="008070DB">
              <w:rPr>
                <w:rFonts w:ascii="Times New Roman" w:hAnsi="Times New Roman" w:cs="Times New Roman"/>
                <w:sz w:val="18"/>
                <w:szCs w:val="18"/>
                <w:lang w:val="ro-MD"/>
              </w:rPr>
              <w:lastRenderedPageBreak/>
              <w:t>privire la supravegherea suplimentară a băncilor, asigurătorilor/reasigurătorilor şi a societăţilor de investiţii care aparţin unui conglomerat financiar.</w:t>
            </w:r>
          </w:p>
          <w:p w14:paraId="231B98A1" w14:textId="77777777" w:rsidR="001A4DE8" w:rsidRPr="008070DB" w:rsidRDefault="001A4DE8" w:rsidP="003456B0">
            <w:pPr>
              <w:pStyle w:val="NoSpacing"/>
              <w:tabs>
                <w:tab w:val="left" w:pos="328"/>
              </w:tabs>
              <w:jc w:val="both"/>
              <w:rPr>
                <w:rFonts w:ascii="Times New Roman" w:hAnsi="Times New Roman" w:cs="Times New Roman"/>
                <w:sz w:val="18"/>
                <w:szCs w:val="18"/>
                <w:lang w:val="ro-MD"/>
              </w:rPr>
            </w:pPr>
          </w:p>
          <w:p w14:paraId="74BB1015" w14:textId="77777777" w:rsidR="001A4DE8" w:rsidRPr="008070DB" w:rsidRDefault="001A4DE8" w:rsidP="003456B0">
            <w:pPr>
              <w:pStyle w:val="NoSpacing"/>
              <w:tabs>
                <w:tab w:val="left" w:pos="328"/>
              </w:tabs>
              <w:jc w:val="both"/>
              <w:rPr>
                <w:rFonts w:ascii="Times New Roman" w:hAnsi="Times New Roman" w:cs="Times New Roman"/>
                <w:sz w:val="18"/>
                <w:szCs w:val="18"/>
                <w:lang w:val="ro-MD"/>
              </w:rPr>
            </w:pPr>
          </w:p>
          <w:p w14:paraId="4764ED4A" w14:textId="77777777" w:rsidR="001A4DE8" w:rsidRPr="008070DB" w:rsidRDefault="001A4DE8" w:rsidP="003456B0">
            <w:pPr>
              <w:pStyle w:val="NoSpacing"/>
              <w:tabs>
                <w:tab w:val="left" w:pos="328"/>
              </w:tabs>
              <w:jc w:val="both"/>
              <w:rPr>
                <w:rFonts w:ascii="Times New Roman" w:hAnsi="Times New Roman" w:cs="Times New Roman"/>
                <w:sz w:val="18"/>
                <w:szCs w:val="18"/>
                <w:lang w:val="ro-MD"/>
              </w:rPr>
            </w:pPr>
          </w:p>
          <w:p w14:paraId="05F00CDF" w14:textId="77777777" w:rsidR="001A4DE8" w:rsidRPr="008070DB" w:rsidRDefault="001A4DE8" w:rsidP="003456B0">
            <w:pPr>
              <w:pStyle w:val="NoSpacing"/>
              <w:tabs>
                <w:tab w:val="left" w:pos="328"/>
              </w:tabs>
              <w:jc w:val="both"/>
              <w:rPr>
                <w:rFonts w:ascii="Times New Roman" w:hAnsi="Times New Roman" w:cs="Times New Roman"/>
                <w:sz w:val="18"/>
                <w:szCs w:val="18"/>
                <w:lang w:val="ro-MD"/>
              </w:rPr>
            </w:pPr>
          </w:p>
          <w:p w14:paraId="652A8A72" w14:textId="77777777" w:rsidR="001A4DE8" w:rsidRPr="008070DB" w:rsidRDefault="001A4DE8" w:rsidP="003456B0">
            <w:pPr>
              <w:pStyle w:val="NoSpacing"/>
              <w:tabs>
                <w:tab w:val="left" w:pos="328"/>
              </w:tabs>
              <w:jc w:val="both"/>
              <w:rPr>
                <w:rFonts w:ascii="Times New Roman" w:hAnsi="Times New Roman" w:cs="Times New Roman"/>
                <w:sz w:val="18"/>
                <w:szCs w:val="18"/>
                <w:lang w:val="ro-MD"/>
              </w:rPr>
            </w:pPr>
          </w:p>
          <w:p w14:paraId="252EA9F1" w14:textId="1D472B12" w:rsidR="001A4DE8" w:rsidRPr="008070DB" w:rsidRDefault="00E57BBB" w:rsidP="003456B0">
            <w:pPr>
              <w:tabs>
                <w:tab w:val="left" w:pos="540"/>
              </w:tabs>
              <w:ind w:left="-43"/>
              <w:jc w:val="both"/>
              <w:rPr>
                <w:b/>
                <w:bCs/>
                <w:sz w:val="18"/>
                <w:szCs w:val="18"/>
                <w:lang w:val="ro-MD"/>
              </w:rPr>
            </w:pPr>
            <w:r w:rsidRPr="008070DB">
              <w:rPr>
                <w:b/>
                <w:bCs/>
                <w:i/>
                <w:iCs/>
                <w:sz w:val="18"/>
                <w:szCs w:val="18"/>
                <w:lang w:val="ro-RO" w:eastAsia="ro-MD"/>
              </w:rPr>
              <w:t xml:space="preserve">Prevederi existente - </w:t>
            </w:r>
            <w:r w:rsidRPr="008070DB">
              <w:rPr>
                <w:i/>
                <w:iCs/>
                <w:sz w:val="18"/>
                <w:szCs w:val="18"/>
                <w:lang w:val="ro-RO" w:eastAsia="ro-MD"/>
              </w:rPr>
              <w:t>Regulamentul nr.220/2025</w:t>
            </w:r>
          </w:p>
        </w:tc>
        <w:tc>
          <w:tcPr>
            <w:tcW w:w="1554" w:type="dxa"/>
          </w:tcPr>
          <w:p w14:paraId="0A3A367B" w14:textId="2C0E238A" w:rsidR="001A4DE8" w:rsidRPr="00A96E09" w:rsidRDefault="001A4DE8" w:rsidP="00C14AF6">
            <w:pPr>
              <w:jc w:val="both"/>
              <w:rPr>
                <w:sz w:val="18"/>
                <w:szCs w:val="18"/>
                <w:lang w:val="ro-MD"/>
              </w:rPr>
            </w:pPr>
            <w:r w:rsidRPr="00A96E09">
              <w:rPr>
                <w:sz w:val="18"/>
                <w:szCs w:val="18"/>
                <w:lang w:val="ro-MD"/>
              </w:rPr>
              <w:lastRenderedPageBreak/>
              <w:t xml:space="preserve">Compatibil </w:t>
            </w:r>
          </w:p>
        </w:tc>
        <w:tc>
          <w:tcPr>
            <w:tcW w:w="4683" w:type="dxa"/>
            <w:tcBorders>
              <w:top w:val="single" w:sz="4" w:space="0" w:color="auto"/>
              <w:bottom w:val="single" w:sz="4" w:space="0" w:color="auto"/>
            </w:tcBorders>
          </w:tcPr>
          <w:p w14:paraId="5F4B9EB6" w14:textId="77777777" w:rsidR="001A4DE8" w:rsidRPr="00A96E09" w:rsidRDefault="001A4DE8" w:rsidP="00C14AF6">
            <w:pPr>
              <w:jc w:val="both"/>
              <w:rPr>
                <w:sz w:val="18"/>
                <w:szCs w:val="18"/>
                <w:lang w:val="ro-MD"/>
              </w:rPr>
            </w:pPr>
          </w:p>
        </w:tc>
      </w:tr>
      <w:tr w:rsidR="001A4DE8" w:rsidRPr="00E57BBB" w14:paraId="1A7EE6F2" w14:textId="77777777" w:rsidTr="00C14AF6">
        <w:trPr>
          <w:trHeight w:val="918"/>
        </w:trPr>
        <w:tc>
          <w:tcPr>
            <w:tcW w:w="3866" w:type="dxa"/>
          </w:tcPr>
          <w:p w14:paraId="5527C919"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(2) Dacă obține aprobarea autorităților competente în conformitate cu articolul 283 alineatele (1) și (2), o instituție poate determina valoarea expunerii pentru următoarele elemente, utilizând metoda modelului intern prevăzută în secțiunea 6: </w:t>
            </w:r>
          </w:p>
          <w:p w14:paraId="725AA14A"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(a) contractele enumerate în anexa II; </w:t>
            </w:r>
          </w:p>
          <w:p w14:paraId="19EA9297"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(b) tranzacțiile de răscumpărare; </w:t>
            </w:r>
          </w:p>
          <w:p w14:paraId="57066453"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(c) operațiunile de dare sau luare de titluri sau mărfuri cu împrumut; </w:t>
            </w:r>
          </w:p>
          <w:p w14:paraId="2B43AA35"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(d) tranzacțiile de creditare în marjă. </w:t>
            </w:r>
          </w:p>
          <w:p w14:paraId="320CF3BA" w14:textId="5DE575DD" w:rsidR="001A4DE8" w:rsidRPr="00A96E09" w:rsidRDefault="001A4DE8" w:rsidP="003456B0">
            <w:pPr>
              <w:pStyle w:val="CM4"/>
              <w:spacing w:after="120"/>
              <w:jc w:val="both"/>
              <w:rPr>
                <w:rFonts w:ascii="Times New Roman" w:hAnsi="Times New Roman"/>
                <w:sz w:val="18"/>
                <w:szCs w:val="18"/>
                <w:lang w:val="ro-MD"/>
              </w:rPr>
            </w:pPr>
            <w:r w:rsidRPr="00A96E09">
              <w:rPr>
                <w:rFonts w:ascii="Times New Roman" w:hAnsi="Times New Roman"/>
                <w:sz w:val="18"/>
                <w:szCs w:val="18"/>
                <w:lang w:val="ro-MD"/>
              </w:rPr>
              <w:t xml:space="preserve">(e) tranzacțiile cu termen lung de decontare. </w:t>
            </w:r>
          </w:p>
        </w:tc>
        <w:tc>
          <w:tcPr>
            <w:tcW w:w="4356" w:type="dxa"/>
          </w:tcPr>
          <w:p w14:paraId="5E26D302" w14:textId="77777777" w:rsidR="00E57BBB" w:rsidRPr="008070DB" w:rsidRDefault="00E57BBB" w:rsidP="003456B0">
            <w:pPr>
              <w:tabs>
                <w:tab w:val="left" w:pos="540"/>
              </w:tabs>
              <w:ind w:left="-43"/>
              <w:jc w:val="both"/>
              <w:rPr>
                <w:iCs/>
                <w:sz w:val="18"/>
                <w:szCs w:val="18"/>
                <w:lang w:val="ro-MD"/>
              </w:rPr>
            </w:pPr>
            <w:r w:rsidRPr="008070DB">
              <w:rPr>
                <w:b/>
                <w:bCs/>
                <w:sz w:val="18"/>
                <w:szCs w:val="18"/>
                <w:lang w:val="ro-MD"/>
              </w:rPr>
              <w:t>9</w:t>
            </w:r>
            <w:r w:rsidRPr="008070DB">
              <w:rPr>
                <w:b/>
                <w:bCs/>
                <w:sz w:val="18"/>
                <w:szCs w:val="18"/>
                <w:vertAlign w:val="superscript"/>
                <w:lang w:val="ro-MD"/>
              </w:rPr>
              <w:t>1</w:t>
            </w:r>
            <w:r w:rsidRPr="008070DB">
              <w:rPr>
                <w:b/>
                <w:bCs/>
                <w:sz w:val="18"/>
                <w:szCs w:val="18"/>
                <w:lang w:val="ro-MD"/>
              </w:rPr>
              <w:t>.</w:t>
            </w:r>
            <w:r w:rsidRPr="008070DB">
              <w:rPr>
                <w:sz w:val="18"/>
                <w:szCs w:val="18"/>
                <w:lang w:val="ro-MD"/>
              </w:rPr>
              <w:t xml:space="preserve"> </w:t>
            </w:r>
            <w:r w:rsidRPr="008070DB">
              <w:rPr>
                <w:iCs/>
                <w:sz w:val="18"/>
                <w:szCs w:val="18"/>
                <w:lang w:val="ro-MD"/>
              </w:rPr>
              <w:t xml:space="preserve">Dacă obține aprobarea Băncii Naționale a Moldovei în conformitate cu punctele 158-161, banca poate determina valoarea expunerii pentru următoarele elemente, utilizând </w:t>
            </w:r>
            <w:bookmarkStart w:id="9" w:name="_Hlk214525038"/>
            <w:r w:rsidRPr="008070DB">
              <w:rPr>
                <w:iCs/>
                <w:sz w:val="18"/>
                <w:szCs w:val="18"/>
                <w:lang w:val="ro-MD"/>
              </w:rPr>
              <w:t xml:space="preserve">metoda modelului intern </w:t>
            </w:r>
            <w:bookmarkEnd w:id="9"/>
            <w:r w:rsidRPr="008070DB">
              <w:rPr>
                <w:iCs/>
                <w:sz w:val="18"/>
                <w:szCs w:val="18"/>
                <w:lang w:val="ro-MD"/>
              </w:rPr>
              <w:t xml:space="preserve">prevăzută în capitolul IX: </w:t>
            </w:r>
          </w:p>
          <w:p w14:paraId="1279CF38" w14:textId="72C54CB6" w:rsidR="00E57BBB" w:rsidRPr="008070DB" w:rsidRDefault="00E57BBB" w:rsidP="003456B0">
            <w:pPr>
              <w:tabs>
                <w:tab w:val="left" w:pos="540"/>
              </w:tabs>
              <w:ind w:left="-43"/>
              <w:jc w:val="both"/>
              <w:rPr>
                <w:iCs/>
                <w:sz w:val="18"/>
                <w:szCs w:val="18"/>
                <w:lang w:val="ro-MD"/>
              </w:rPr>
            </w:pPr>
            <w:r w:rsidRPr="008070DB">
              <w:rPr>
                <w:iCs/>
                <w:sz w:val="18"/>
                <w:szCs w:val="18"/>
                <w:lang w:val="ro-MD"/>
              </w:rPr>
              <w:t>9</w:t>
            </w:r>
            <w:r w:rsidRPr="008070DB">
              <w:rPr>
                <w:iCs/>
                <w:sz w:val="18"/>
                <w:szCs w:val="18"/>
                <w:vertAlign w:val="superscript"/>
                <w:lang w:val="ro-MD"/>
              </w:rPr>
              <w:t>1</w:t>
            </w:r>
            <w:r w:rsidRPr="008070DB">
              <w:rPr>
                <w:iCs/>
                <w:sz w:val="18"/>
                <w:szCs w:val="18"/>
                <w:lang w:val="ro-MD"/>
              </w:rPr>
              <w:t xml:space="preserve">.1. contractele enumerate în </w:t>
            </w:r>
            <w:r w:rsidRPr="008070DB">
              <w:rPr>
                <w:sz w:val="18"/>
                <w:szCs w:val="18"/>
                <w:lang w:val="ro-MD"/>
              </w:rPr>
              <w:t>anexa nr.1 la Regulamentul nr.114/2018</w:t>
            </w:r>
            <w:r w:rsidRPr="008070DB">
              <w:rPr>
                <w:iCs/>
                <w:sz w:val="18"/>
                <w:szCs w:val="18"/>
                <w:lang w:val="ro-MD"/>
              </w:rPr>
              <w:t xml:space="preserve">; </w:t>
            </w:r>
          </w:p>
          <w:p w14:paraId="660F4280" w14:textId="77777777" w:rsidR="00E57BBB" w:rsidRPr="008070DB" w:rsidRDefault="00E57BBB" w:rsidP="003456B0">
            <w:pPr>
              <w:tabs>
                <w:tab w:val="left" w:pos="540"/>
              </w:tabs>
              <w:ind w:left="-43"/>
              <w:jc w:val="both"/>
              <w:rPr>
                <w:iCs/>
                <w:sz w:val="18"/>
                <w:szCs w:val="18"/>
                <w:lang w:val="ro-MD"/>
              </w:rPr>
            </w:pPr>
            <w:r w:rsidRPr="008070DB">
              <w:rPr>
                <w:iCs/>
                <w:sz w:val="18"/>
                <w:szCs w:val="18"/>
                <w:lang w:val="ro-MD"/>
              </w:rPr>
              <w:t>9</w:t>
            </w:r>
            <w:r w:rsidRPr="008070DB">
              <w:rPr>
                <w:iCs/>
                <w:sz w:val="18"/>
                <w:szCs w:val="18"/>
                <w:vertAlign w:val="superscript"/>
                <w:lang w:val="ro-MD"/>
              </w:rPr>
              <w:t>1</w:t>
            </w:r>
            <w:r w:rsidRPr="008070DB">
              <w:rPr>
                <w:iCs/>
                <w:sz w:val="18"/>
                <w:szCs w:val="18"/>
                <w:lang w:val="ro-MD"/>
              </w:rPr>
              <w:t xml:space="preserve">.2. tranzacțiile de răscumpărare; </w:t>
            </w:r>
          </w:p>
          <w:p w14:paraId="72771A50" w14:textId="77777777" w:rsidR="00E57BBB" w:rsidRPr="008070DB" w:rsidRDefault="00E57BBB" w:rsidP="003456B0">
            <w:pPr>
              <w:tabs>
                <w:tab w:val="left" w:pos="540"/>
              </w:tabs>
              <w:ind w:left="-43"/>
              <w:jc w:val="both"/>
              <w:rPr>
                <w:iCs/>
                <w:sz w:val="18"/>
                <w:szCs w:val="18"/>
                <w:lang w:val="ro-MD"/>
              </w:rPr>
            </w:pPr>
            <w:r w:rsidRPr="008070DB">
              <w:rPr>
                <w:iCs/>
                <w:sz w:val="18"/>
                <w:szCs w:val="18"/>
                <w:lang w:val="ro-MD"/>
              </w:rPr>
              <w:t>9</w:t>
            </w:r>
            <w:r w:rsidRPr="008070DB">
              <w:rPr>
                <w:iCs/>
                <w:sz w:val="18"/>
                <w:szCs w:val="18"/>
                <w:vertAlign w:val="superscript"/>
                <w:lang w:val="ro-MD"/>
              </w:rPr>
              <w:t>1</w:t>
            </w:r>
            <w:r w:rsidRPr="008070DB">
              <w:rPr>
                <w:iCs/>
                <w:sz w:val="18"/>
                <w:szCs w:val="18"/>
                <w:lang w:val="ro-MD"/>
              </w:rPr>
              <w:t xml:space="preserve">.3. operațiunile de dare sau luare de titluri sau mărfuri cu împrumut; </w:t>
            </w:r>
          </w:p>
          <w:p w14:paraId="5E396BE4" w14:textId="77777777" w:rsidR="00E57BBB" w:rsidRPr="008070DB" w:rsidRDefault="00E57BBB" w:rsidP="003456B0">
            <w:pPr>
              <w:tabs>
                <w:tab w:val="left" w:pos="540"/>
              </w:tabs>
              <w:ind w:left="-43"/>
              <w:jc w:val="both"/>
              <w:rPr>
                <w:iCs/>
                <w:sz w:val="18"/>
                <w:szCs w:val="18"/>
                <w:lang w:val="ro-MD"/>
              </w:rPr>
            </w:pPr>
            <w:r w:rsidRPr="008070DB">
              <w:rPr>
                <w:iCs/>
                <w:sz w:val="18"/>
                <w:szCs w:val="18"/>
                <w:lang w:val="ro-MD"/>
              </w:rPr>
              <w:t>9</w:t>
            </w:r>
            <w:r w:rsidRPr="008070DB">
              <w:rPr>
                <w:iCs/>
                <w:sz w:val="18"/>
                <w:szCs w:val="18"/>
                <w:vertAlign w:val="superscript"/>
                <w:lang w:val="ro-MD"/>
              </w:rPr>
              <w:t>1</w:t>
            </w:r>
            <w:r w:rsidRPr="008070DB">
              <w:rPr>
                <w:iCs/>
                <w:sz w:val="18"/>
                <w:szCs w:val="18"/>
                <w:lang w:val="ro-MD"/>
              </w:rPr>
              <w:t xml:space="preserve">.4. tranzacțiile de creditare în marjă; </w:t>
            </w:r>
          </w:p>
          <w:p w14:paraId="7F47F321" w14:textId="77777777" w:rsidR="001A4DE8" w:rsidRPr="008070DB" w:rsidRDefault="00E57BBB" w:rsidP="003456B0">
            <w:pPr>
              <w:tabs>
                <w:tab w:val="left" w:pos="540"/>
              </w:tabs>
              <w:ind w:left="-43"/>
              <w:jc w:val="both"/>
              <w:rPr>
                <w:sz w:val="18"/>
                <w:szCs w:val="18"/>
                <w:lang w:val="ro-MD"/>
              </w:rPr>
            </w:pPr>
            <w:r w:rsidRPr="008070DB">
              <w:rPr>
                <w:iCs/>
                <w:sz w:val="18"/>
                <w:szCs w:val="18"/>
                <w:lang w:val="ro-MD"/>
              </w:rPr>
              <w:t>9</w:t>
            </w:r>
            <w:r w:rsidRPr="008070DB">
              <w:rPr>
                <w:iCs/>
                <w:sz w:val="18"/>
                <w:szCs w:val="18"/>
                <w:vertAlign w:val="superscript"/>
                <w:lang w:val="ro-MD"/>
              </w:rPr>
              <w:t>1</w:t>
            </w:r>
            <w:r w:rsidRPr="008070DB">
              <w:rPr>
                <w:iCs/>
                <w:sz w:val="18"/>
                <w:szCs w:val="18"/>
                <w:lang w:val="ro-MD"/>
              </w:rPr>
              <w:t xml:space="preserve">.5. </w:t>
            </w:r>
            <w:r w:rsidRPr="008070DB">
              <w:rPr>
                <w:sz w:val="18"/>
                <w:szCs w:val="18"/>
                <w:lang w:val="ro-MD"/>
              </w:rPr>
              <w:t>tranzacțiile cu termen lung de decontare.</w:t>
            </w:r>
          </w:p>
          <w:p w14:paraId="76EB0D37" w14:textId="77777777" w:rsidR="00E57BBB" w:rsidRPr="008070DB" w:rsidRDefault="00E57BBB" w:rsidP="003456B0">
            <w:pPr>
              <w:tabs>
                <w:tab w:val="left" w:pos="540"/>
              </w:tabs>
              <w:ind w:left="-43"/>
              <w:jc w:val="both"/>
              <w:rPr>
                <w:sz w:val="18"/>
                <w:szCs w:val="18"/>
                <w:lang w:val="ro-MD"/>
              </w:rPr>
            </w:pPr>
          </w:p>
          <w:p w14:paraId="31DB069F" w14:textId="77777777" w:rsidR="00E57BBB" w:rsidRPr="008070DB" w:rsidRDefault="00E57BBB" w:rsidP="003456B0">
            <w:pPr>
              <w:tabs>
                <w:tab w:val="left" w:pos="540"/>
              </w:tabs>
              <w:ind w:left="-43"/>
              <w:jc w:val="both"/>
              <w:rPr>
                <w:sz w:val="18"/>
                <w:szCs w:val="18"/>
                <w:lang w:val="ro-MD"/>
              </w:rPr>
            </w:pPr>
          </w:p>
          <w:p w14:paraId="37C1C033" w14:textId="77777777" w:rsidR="00E57BBB" w:rsidRPr="008070DB" w:rsidRDefault="00E57BBB" w:rsidP="003456B0">
            <w:pPr>
              <w:tabs>
                <w:tab w:val="left" w:pos="540"/>
              </w:tabs>
              <w:ind w:left="-43"/>
              <w:jc w:val="both"/>
              <w:rPr>
                <w:sz w:val="18"/>
                <w:szCs w:val="18"/>
                <w:lang w:val="ro-MD"/>
              </w:rPr>
            </w:pPr>
          </w:p>
          <w:p w14:paraId="0F374147" w14:textId="77777777" w:rsidR="00E57BBB" w:rsidRPr="008070DB" w:rsidRDefault="00E57BBB" w:rsidP="003456B0">
            <w:pPr>
              <w:tabs>
                <w:tab w:val="left" w:pos="540"/>
              </w:tabs>
              <w:ind w:left="-43"/>
              <w:jc w:val="both"/>
              <w:rPr>
                <w:sz w:val="18"/>
                <w:szCs w:val="18"/>
                <w:lang w:val="ro-MD"/>
              </w:rPr>
            </w:pPr>
          </w:p>
          <w:p w14:paraId="291F471B" w14:textId="77777777" w:rsidR="00E57BBB" w:rsidRPr="008070DB" w:rsidRDefault="00E57BBB" w:rsidP="003456B0">
            <w:pPr>
              <w:tabs>
                <w:tab w:val="left" w:pos="540"/>
              </w:tabs>
              <w:ind w:left="-43"/>
              <w:jc w:val="both"/>
              <w:rPr>
                <w:sz w:val="18"/>
                <w:szCs w:val="18"/>
                <w:lang w:val="ro-MD"/>
              </w:rPr>
            </w:pPr>
          </w:p>
          <w:p w14:paraId="4AB113F4" w14:textId="77777777" w:rsidR="00E57BBB" w:rsidRPr="008070DB" w:rsidRDefault="00E57BBB" w:rsidP="003456B0">
            <w:pPr>
              <w:tabs>
                <w:tab w:val="left" w:pos="540"/>
              </w:tabs>
              <w:ind w:left="-43"/>
              <w:jc w:val="both"/>
              <w:rPr>
                <w:sz w:val="18"/>
                <w:szCs w:val="18"/>
                <w:lang w:val="ro-MD"/>
              </w:rPr>
            </w:pPr>
          </w:p>
          <w:p w14:paraId="35EF038C" w14:textId="08CD7273" w:rsidR="00E57BBB" w:rsidRPr="008070DB" w:rsidRDefault="00E57BBB" w:rsidP="003456B0">
            <w:pPr>
              <w:jc w:val="both"/>
              <w:rPr>
                <w:sz w:val="18"/>
                <w:szCs w:val="18"/>
                <w:lang w:val="en-US" w:eastAsia="ro-MD"/>
              </w:rPr>
            </w:pPr>
            <w:r w:rsidRPr="008070DB">
              <w:rPr>
                <w:b/>
                <w:bCs/>
                <w:i/>
                <w:iCs/>
                <w:sz w:val="18"/>
                <w:szCs w:val="18"/>
                <w:lang w:val="ro-RO" w:eastAsia="ro-MD"/>
              </w:rPr>
              <w:t xml:space="preserve">Prevedere nouă - </w:t>
            </w:r>
            <w:r w:rsidRPr="008070DB">
              <w:rPr>
                <w:sz w:val="18"/>
                <w:szCs w:val="18"/>
                <w:lang w:val="ro-MD" w:eastAsia="ro-MD"/>
              </w:rPr>
              <w:t xml:space="preserve">Inclusă prin </w:t>
            </w:r>
            <w:r w:rsidRPr="008070DB">
              <w:rPr>
                <w:b/>
                <w:bCs/>
                <w:i/>
                <w:iCs/>
                <w:sz w:val="18"/>
                <w:szCs w:val="18"/>
                <w:lang w:val="ro-RO" w:eastAsia="ro-MD"/>
              </w:rPr>
              <w:t>Proiectul HCE al BNM de modificare a Regulamentului nr.220/2025</w:t>
            </w:r>
          </w:p>
        </w:tc>
        <w:tc>
          <w:tcPr>
            <w:tcW w:w="1554" w:type="dxa"/>
          </w:tcPr>
          <w:p w14:paraId="2D67EC69" w14:textId="7F7C06A7" w:rsidR="001A4DE8" w:rsidRPr="00A96E09" w:rsidRDefault="00E57BBB" w:rsidP="00C14AF6">
            <w:pPr>
              <w:jc w:val="both"/>
              <w:rPr>
                <w:sz w:val="18"/>
                <w:szCs w:val="18"/>
                <w:lang w:val="ro-MD"/>
              </w:rPr>
            </w:pPr>
            <w:r>
              <w:rPr>
                <w:sz w:val="18"/>
                <w:szCs w:val="18"/>
                <w:lang w:val="ro-MD"/>
              </w:rPr>
              <w:t>C</w:t>
            </w:r>
            <w:r w:rsidR="001A4DE8" w:rsidRPr="00A96E09">
              <w:rPr>
                <w:sz w:val="18"/>
                <w:szCs w:val="18"/>
                <w:lang w:val="ro-MD"/>
              </w:rPr>
              <w:t>ompatibil</w:t>
            </w:r>
          </w:p>
        </w:tc>
        <w:tc>
          <w:tcPr>
            <w:tcW w:w="4683" w:type="dxa"/>
            <w:tcBorders>
              <w:top w:val="single" w:sz="4" w:space="0" w:color="auto"/>
              <w:bottom w:val="single" w:sz="4" w:space="0" w:color="auto"/>
            </w:tcBorders>
          </w:tcPr>
          <w:p w14:paraId="269B2151" w14:textId="54182955" w:rsidR="001A4DE8" w:rsidRPr="00A96E09" w:rsidRDefault="001A4DE8" w:rsidP="00C14AF6">
            <w:pPr>
              <w:rPr>
                <w:sz w:val="18"/>
                <w:szCs w:val="18"/>
                <w:lang w:val="ro-MD"/>
              </w:rPr>
            </w:pPr>
          </w:p>
        </w:tc>
      </w:tr>
      <w:tr w:rsidR="001A4DE8" w:rsidRPr="00A96E09" w14:paraId="24370E01" w14:textId="77777777" w:rsidTr="00C14AF6">
        <w:trPr>
          <w:trHeight w:val="918"/>
        </w:trPr>
        <w:tc>
          <w:tcPr>
            <w:tcW w:w="3866" w:type="dxa"/>
          </w:tcPr>
          <w:p w14:paraId="475ACDF8"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(3) Dacă o instituție achiziționează protecție prin intermediul unui instrument financiar derivat de credit pentru a acoperi o expunere din afara portofoliului de tranzacționare sau o expunere la riscul de credit al contrapărții, aceasta poate calcula cerința de fonduri proprii pentru expunerea acoperită în conformitate: </w:t>
            </w:r>
          </w:p>
          <w:p w14:paraId="019C80D5" w14:textId="77777777" w:rsidR="001A4DE8" w:rsidRPr="00A96E09" w:rsidRDefault="001A4DE8" w:rsidP="003456B0">
            <w:pPr>
              <w:pStyle w:val="title-article-norm"/>
              <w:jc w:val="both"/>
              <w:rPr>
                <w:i w:val="0"/>
                <w:sz w:val="18"/>
                <w:szCs w:val="18"/>
                <w:lang w:val="ro-MD"/>
              </w:rPr>
            </w:pPr>
            <w:r w:rsidRPr="00A96E09">
              <w:rPr>
                <w:i w:val="0"/>
                <w:sz w:val="18"/>
                <w:szCs w:val="18"/>
                <w:lang w:val="ro-MD"/>
              </w:rPr>
              <w:lastRenderedPageBreak/>
              <w:t xml:space="preserve">(a) fie cu articolele 233 - 236; </w:t>
            </w:r>
          </w:p>
          <w:p w14:paraId="6C0727C5"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(b) fie cu articolul 153 alineatul (3) sau cu articolul 183, dacă aprobarea a fost acordată în conformitate cu articolul 143. </w:t>
            </w:r>
          </w:p>
          <w:p w14:paraId="3784E8E1" w14:textId="698D99D7" w:rsidR="001A4DE8" w:rsidRPr="00A96E09" w:rsidRDefault="001A4DE8" w:rsidP="003456B0">
            <w:pPr>
              <w:pStyle w:val="CM4"/>
              <w:spacing w:after="120"/>
              <w:jc w:val="both"/>
              <w:rPr>
                <w:rFonts w:ascii="Times New Roman" w:hAnsi="Times New Roman"/>
                <w:sz w:val="18"/>
                <w:szCs w:val="18"/>
                <w:lang w:val="ro-MD"/>
              </w:rPr>
            </w:pPr>
            <w:r w:rsidRPr="00A96E09">
              <w:rPr>
                <w:rFonts w:ascii="Times New Roman" w:hAnsi="Times New Roman"/>
                <w:sz w:val="18"/>
                <w:szCs w:val="18"/>
                <w:lang w:val="ro-MD"/>
              </w:rPr>
              <w:t xml:space="preserve">Valoarea expunerii la CCR aferent acestor instrumente financiare derivate de credit este zero, cu excepția cazului în care o instituție aplică abordarea prevăzută la articolul 299 alineatul (2) litera (h) punctul (ii). </w:t>
            </w:r>
          </w:p>
        </w:tc>
        <w:tc>
          <w:tcPr>
            <w:tcW w:w="4356" w:type="dxa"/>
          </w:tcPr>
          <w:p w14:paraId="0C5A3B14" w14:textId="032A9099" w:rsidR="001A4DE8" w:rsidRPr="008070DB" w:rsidRDefault="001A4DE8" w:rsidP="003456B0">
            <w:pPr>
              <w:tabs>
                <w:tab w:val="left" w:pos="540"/>
              </w:tabs>
              <w:ind w:left="-43"/>
              <w:jc w:val="both"/>
              <w:rPr>
                <w:sz w:val="18"/>
                <w:szCs w:val="18"/>
                <w:lang w:val="ro-MD"/>
              </w:rPr>
            </w:pPr>
            <w:r w:rsidRPr="008070DB">
              <w:rPr>
                <w:rFonts w:eastAsiaTheme="minorHAnsi"/>
                <w:b/>
                <w:bCs/>
                <w:sz w:val="18"/>
                <w:szCs w:val="18"/>
                <w:lang w:val="ro-MD"/>
              </w:rPr>
              <w:lastRenderedPageBreak/>
              <w:t>10.</w:t>
            </w:r>
            <w:r w:rsidRPr="008070DB">
              <w:rPr>
                <w:rFonts w:eastAsiaTheme="minorHAnsi"/>
                <w:sz w:val="18"/>
                <w:szCs w:val="18"/>
                <w:lang w:val="ro-MD"/>
              </w:rPr>
              <w:t xml:space="preserve"> </w:t>
            </w:r>
            <w:r w:rsidRPr="008070DB">
              <w:rPr>
                <w:sz w:val="18"/>
                <w:szCs w:val="18"/>
                <w:lang w:val="ro-MD"/>
              </w:rPr>
              <w:t xml:space="preserve">Dacă banca achiziţionează protecţie prin intermediul unui instrument financiar derivat de credit pentru a acoperi o expunere din afara portofoliului de tranzacţionare sau o expunere la riscul de credit al contrapărţii, aceasta poate calcula cerinţa de fonduri proprii pentru expunerea acoperită împotriva riscurilor în conformitate cu capitolul IX din Regulamentul nr.112/2018. Valoarea expunerii la riscul de credit al contrapărţii pentru aceste instrumente financiare derivate de credit este zero, cu excepţia cazului </w:t>
            </w:r>
            <w:r w:rsidRPr="008070DB">
              <w:rPr>
                <w:sz w:val="18"/>
                <w:szCs w:val="18"/>
                <w:lang w:val="ro-MD"/>
              </w:rPr>
              <w:lastRenderedPageBreak/>
              <w:t xml:space="preserve">în care banca aplică abordarea prevăzută la </w:t>
            </w:r>
            <w:r w:rsidRPr="00E153A9">
              <w:rPr>
                <w:sz w:val="18"/>
                <w:szCs w:val="18"/>
                <w:lang w:val="ro-MD"/>
              </w:rPr>
              <w:t xml:space="preserve">punctul </w:t>
            </w:r>
            <w:r w:rsidR="00E153A9" w:rsidRPr="00E153A9">
              <w:rPr>
                <w:sz w:val="18"/>
                <w:szCs w:val="18"/>
                <w:lang w:val="ro-MD"/>
              </w:rPr>
              <w:t>124, subpunctul 124.2.</w:t>
            </w:r>
          </w:p>
          <w:p w14:paraId="18CD31EA" w14:textId="77777777" w:rsidR="0053355A" w:rsidRPr="008070DB" w:rsidRDefault="0053355A" w:rsidP="003456B0">
            <w:pPr>
              <w:tabs>
                <w:tab w:val="left" w:pos="540"/>
              </w:tabs>
              <w:ind w:left="-43"/>
              <w:jc w:val="both"/>
              <w:rPr>
                <w:b/>
                <w:bCs/>
                <w:sz w:val="18"/>
                <w:szCs w:val="18"/>
                <w:lang w:val="ro-MD"/>
              </w:rPr>
            </w:pPr>
          </w:p>
          <w:p w14:paraId="1A97742A" w14:textId="77777777" w:rsidR="0053355A" w:rsidRPr="008070DB" w:rsidRDefault="0053355A" w:rsidP="003456B0">
            <w:pPr>
              <w:tabs>
                <w:tab w:val="left" w:pos="540"/>
              </w:tabs>
              <w:ind w:left="-43"/>
              <w:jc w:val="both"/>
              <w:rPr>
                <w:b/>
                <w:bCs/>
                <w:sz w:val="18"/>
                <w:szCs w:val="18"/>
                <w:lang w:val="ro-MD"/>
              </w:rPr>
            </w:pPr>
          </w:p>
          <w:p w14:paraId="04C96480" w14:textId="77777777" w:rsidR="0053355A" w:rsidRPr="008070DB" w:rsidRDefault="0053355A" w:rsidP="003456B0">
            <w:pPr>
              <w:tabs>
                <w:tab w:val="left" w:pos="540"/>
              </w:tabs>
              <w:ind w:left="-43"/>
              <w:jc w:val="both"/>
              <w:rPr>
                <w:b/>
                <w:bCs/>
                <w:sz w:val="18"/>
                <w:szCs w:val="18"/>
                <w:lang w:val="ro-MD"/>
              </w:rPr>
            </w:pPr>
          </w:p>
          <w:p w14:paraId="3F7979F9" w14:textId="77777777" w:rsidR="0053355A" w:rsidRPr="008070DB" w:rsidRDefault="0053355A" w:rsidP="003456B0">
            <w:pPr>
              <w:tabs>
                <w:tab w:val="left" w:pos="540"/>
              </w:tabs>
              <w:ind w:left="-43"/>
              <w:jc w:val="both"/>
              <w:rPr>
                <w:b/>
                <w:bCs/>
                <w:sz w:val="18"/>
                <w:szCs w:val="18"/>
                <w:lang w:val="ro-MD"/>
              </w:rPr>
            </w:pPr>
          </w:p>
          <w:p w14:paraId="3AD231D1" w14:textId="77777777" w:rsidR="0053355A" w:rsidRPr="008070DB" w:rsidRDefault="0053355A" w:rsidP="003456B0">
            <w:pPr>
              <w:tabs>
                <w:tab w:val="left" w:pos="540"/>
              </w:tabs>
              <w:ind w:left="-43"/>
              <w:jc w:val="both"/>
              <w:rPr>
                <w:b/>
                <w:bCs/>
                <w:sz w:val="18"/>
                <w:szCs w:val="18"/>
                <w:lang w:val="ro-MD"/>
              </w:rPr>
            </w:pPr>
          </w:p>
          <w:p w14:paraId="7299E238" w14:textId="77777777" w:rsidR="0053355A" w:rsidRPr="008070DB" w:rsidRDefault="0053355A" w:rsidP="003456B0">
            <w:pPr>
              <w:tabs>
                <w:tab w:val="left" w:pos="540"/>
              </w:tabs>
              <w:ind w:left="-43"/>
              <w:jc w:val="both"/>
              <w:rPr>
                <w:b/>
                <w:bCs/>
                <w:sz w:val="18"/>
                <w:szCs w:val="18"/>
                <w:lang w:val="ro-MD"/>
              </w:rPr>
            </w:pPr>
          </w:p>
          <w:p w14:paraId="1B4CC551" w14:textId="77777777" w:rsidR="0053355A" w:rsidRPr="008070DB" w:rsidRDefault="0053355A" w:rsidP="003456B0">
            <w:pPr>
              <w:tabs>
                <w:tab w:val="left" w:pos="540"/>
              </w:tabs>
              <w:ind w:left="-43"/>
              <w:jc w:val="both"/>
              <w:rPr>
                <w:b/>
                <w:bCs/>
                <w:sz w:val="18"/>
                <w:szCs w:val="18"/>
                <w:lang w:val="ro-MD"/>
              </w:rPr>
            </w:pPr>
          </w:p>
          <w:p w14:paraId="3EE9A9F7" w14:textId="77777777" w:rsidR="0053355A" w:rsidRPr="008070DB" w:rsidRDefault="0053355A" w:rsidP="003456B0">
            <w:pPr>
              <w:tabs>
                <w:tab w:val="left" w:pos="540"/>
              </w:tabs>
              <w:ind w:left="-43"/>
              <w:jc w:val="both"/>
              <w:rPr>
                <w:b/>
                <w:bCs/>
                <w:sz w:val="18"/>
                <w:szCs w:val="18"/>
                <w:lang w:val="ro-MD"/>
              </w:rPr>
            </w:pPr>
          </w:p>
          <w:p w14:paraId="5EFE4718" w14:textId="77777777" w:rsidR="0053355A" w:rsidRPr="008070DB" w:rsidRDefault="0053355A" w:rsidP="003456B0">
            <w:pPr>
              <w:tabs>
                <w:tab w:val="left" w:pos="540"/>
              </w:tabs>
              <w:ind w:left="-43"/>
              <w:jc w:val="both"/>
              <w:rPr>
                <w:b/>
                <w:bCs/>
                <w:sz w:val="18"/>
                <w:szCs w:val="18"/>
                <w:lang w:val="ro-MD"/>
              </w:rPr>
            </w:pPr>
          </w:p>
          <w:p w14:paraId="2988AF17" w14:textId="77777777" w:rsidR="0053355A" w:rsidRPr="008070DB" w:rsidRDefault="0053355A" w:rsidP="003456B0">
            <w:pPr>
              <w:tabs>
                <w:tab w:val="left" w:pos="540"/>
              </w:tabs>
              <w:ind w:left="-43"/>
              <w:jc w:val="both"/>
              <w:rPr>
                <w:b/>
                <w:bCs/>
                <w:sz w:val="18"/>
                <w:szCs w:val="18"/>
                <w:lang w:val="ro-MD"/>
              </w:rPr>
            </w:pPr>
          </w:p>
          <w:p w14:paraId="6E1D7D41" w14:textId="77777777" w:rsidR="0053355A" w:rsidRPr="008070DB" w:rsidRDefault="0053355A" w:rsidP="003456B0">
            <w:pPr>
              <w:tabs>
                <w:tab w:val="left" w:pos="540"/>
              </w:tabs>
              <w:ind w:left="-43"/>
              <w:jc w:val="both"/>
              <w:rPr>
                <w:b/>
                <w:bCs/>
                <w:sz w:val="18"/>
                <w:szCs w:val="18"/>
                <w:lang w:val="ro-MD"/>
              </w:rPr>
            </w:pPr>
          </w:p>
          <w:p w14:paraId="53AACFC3" w14:textId="77777777" w:rsidR="0053355A" w:rsidRPr="008070DB" w:rsidRDefault="0053355A" w:rsidP="003456B0">
            <w:pPr>
              <w:tabs>
                <w:tab w:val="left" w:pos="540"/>
              </w:tabs>
              <w:ind w:left="-43"/>
              <w:jc w:val="both"/>
              <w:rPr>
                <w:b/>
                <w:bCs/>
                <w:sz w:val="18"/>
                <w:szCs w:val="18"/>
                <w:lang w:val="ro-MD"/>
              </w:rPr>
            </w:pPr>
          </w:p>
          <w:p w14:paraId="00E6E1C0" w14:textId="5AF13E42" w:rsidR="0053355A" w:rsidRPr="008070DB" w:rsidRDefault="0053355A" w:rsidP="003456B0">
            <w:pPr>
              <w:tabs>
                <w:tab w:val="left" w:pos="540"/>
              </w:tabs>
              <w:ind w:left="-43"/>
              <w:jc w:val="both"/>
              <w:rPr>
                <w:b/>
                <w:bCs/>
                <w:sz w:val="18"/>
                <w:szCs w:val="18"/>
                <w:lang w:val="ro-MD"/>
              </w:rPr>
            </w:pPr>
            <w:r w:rsidRPr="008070DB">
              <w:rPr>
                <w:b/>
                <w:bCs/>
                <w:i/>
                <w:iCs/>
                <w:sz w:val="18"/>
                <w:szCs w:val="18"/>
                <w:lang w:val="ro-RO" w:eastAsia="ro-MD"/>
              </w:rPr>
              <w:t xml:space="preserve">Prevederi existente - </w:t>
            </w:r>
            <w:r w:rsidRPr="008070DB">
              <w:rPr>
                <w:i/>
                <w:iCs/>
                <w:sz w:val="18"/>
                <w:szCs w:val="18"/>
                <w:lang w:val="ro-RO" w:eastAsia="ro-MD"/>
              </w:rPr>
              <w:t>Regulamentul nr.220/2025</w:t>
            </w:r>
          </w:p>
        </w:tc>
        <w:tc>
          <w:tcPr>
            <w:tcW w:w="1554" w:type="dxa"/>
          </w:tcPr>
          <w:p w14:paraId="346F2658" w14:textId="3F23C1F6"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61254D18" w14:textId="77777777" w:rsidR="001A4DE8" w:rsidRPr="00A96E09" w:rsidRDefault="001A4DE8" w:rsidP="00C14AF6">
            <w:pPr>
              <w:jc w:val="both"/>
              <w:rPr>
                <w:sz w:val="18"/>
                <w:szCs w:val="18"/>
                <w:lang w:val="ro-MD"/>
              </w:rPr>
            </w:pPr>
          </w:p>
        </w:tc>
      </w:tr>
      <w:tr w:rsidR="001A4DE8" w:rsidRPr="00A96E09" w14:paraId="3AEFE4BD" w14:textId="77777777" w:rsidTr="00C14AF6">
        <w:trPr>
          <w:trHeight w:val="918"/>
        </w:trPr>
        <w:tc>
          <w:tcPr>
            <w:tcW w:w="3866" w:type="dxa"/>
          </w:tcPr>
          <w:p w14:paraId="75E340A9" w14:textId="2E141628" w:rsidR="001A4DE8" w:rsidRPr="00A96E09" w:rsidRDefault="001A4DE8" w:rsidP="003456B0">
            <w:pPr>
              <w:pStyle w:val="CM4"/>
              <w:spacing w:after="120"/>
              <w:jc w:val="both"/>
              <w:rPr>
                <w:rFonts w:ascii="Times New Roman" w:hAnsi="Times New Roman"/>
                <w:sz w:val="18"/>
                <w:szCs w:val="18"/>
                <w:lang w:val="ro-MD"/>
              </w:rPr>
            </w:pPr>
            <w:r w:rsidRPr="00A96E09">
              <w:rPr>
                <w:rFonts w:ascii="Times New Roman" w:hAnsi="Times New Roman"/>
                <w:sz w:val="18"/>
                <w:szCs w:val="18"/>
                <w:lang w:val="ro-MD"/>
              </w:rPr>
              <w:t>(4) În pofida alineatului (3), o instituție poate decide să includă, în mod consecvent, în calculul cerințelor de fonduri proprii pentru riscul de credit al contrapărții toate instrumentele financiare derivate de credit care nu sunt incluse în portofoliul de tranzacționare și sunt achiziționate ca protecție pentru acoperirea unei expuneri din afara portofoliului de tranzacționare sau a unei expuneri la CCR, dacă protecția creditului este recunoscută în temeiul prezentului regulament.</w:t>
            </w:r>
          </w:p>
        </w:tc>
        <w:tc>
          <w:tcPr>
            <w:tcW w:w="4356" w:type="dxa"/>
          </w:tcPr>
          <w:p w14:paraId="4B7AA4E3" w14:textId="77777777" w:rsidR="001A4DE8" w:rsidRPr="008070DB" w:rsidRDefault="001A4DE8" w:rsidP="003456B0">
            <w:pPr>
              <w:tabs>
                <w:tab w:val="left" w:pos="540"/>
              </w:tabs>
              <w:ind w:left="-43"/>
              <w:jc w:val="both"/>
              <w:rPr>
                <w:sz w:val="18"/>
                <w:szCs w:val="18"/>
                <w:lang w:val="ro-MD"/>
              </w:rPr>
            </w:pPr>
            <w:r w:rsidRPr="008070DB">
              <w:rPr>
                <w:b/>
                <w:bCs/>
                <w:sz w:val="18"/>
                <w:szCs w:val="18"/>
                <w:lang w:val="ro-MD"/>
              </w:rPr>
              <w:t>11.</w:t>
            </w:r>
            <w:r w:rsidRPr="008070DB">
              <w:rPr>
                <w:sz w:val="18"/>
                <w:szCs w:val="18"/>
                <w:lang w:val="ro-MD"/>
              </w:rPr>
              <w:t xml:space="preserve"> Prin derogare de la prevederile punctului </w:t>
            </w:r>
            <w:r w:rsidRPr="008070DB">
              <w:rPr>
                <w:sz w:val="18"/>
                <w:szCs w:val="18"/>
                <w:lang w:val="ro-MD"/>
              </w:rPr>
              <w:fldChar w:fldCharType="begin"/>
            </w:r>
            <w:r w:rsidRPr="008070DB">
              <w:rPr>
                <w:sz w:val="18"/>
                <w:szCs w:val="18"/>
                <w:lang w:val="ro-MD"/>
              </w:rPr>
              <w:instrText xml:space="preserve"> REF _Ref168491907 \r \h  \* MERGEFORMAT </w:instrText>
            </w:r>
            <w:r w:rsidRPr="008070DB">
              <w:rPr>
                <w:sz w:val="18"/>
                <w:szCs w:val="18"/>
                <w:lang w:val="ro-MD"/>
              </w:rPr>
            </w:r>
            <w:r w:rsidRPr="008070DB">
              <w:rPr>
                <w:sz w:val="18"/>
                <w:szCs w:val="18"/>
                <w:lang w:val="ro-MD"/>
              </w:rPr>
              <w:fldChar w:fldCharType="separate"/>
            </w:r>
            <w:r w:rsidR="00974022" w:rsidRPr="008070DB">
              <w:rPr>
                <w:b/>
                <w:bCs/>
                <w:sz w:val="18"/>
                <w:szCs w:val="18"/>
                <w:lang w:val="en-US"/>
              </w:rPr>
              <w:t>Error! Reference source not found.</w:t>
            </w:r>
            <w:r w:rsidRPr="008070DB">
              <w:rPr>
                <w:sz w:val="18"/>
                <w:szCs w:val="18"/>
                <w:lang w:val="ro-MD"/>
              </w:rPr>
              <w:fldChar w:fldCharType="end"/>
            </w:r>
            <w:r w:rsidRPr="008070DB">
              <w:rPr>
                <w:sz w:val="18"/>
                <w:szCs w:val="18"/>
                <w:lang w:val="ro-MD"/>
              </w:rPr>
              <w:t>, banca poate decide să includă, în mod consecvent, în calculul cerinţelor de fonduri proprii pentru riscul de credit al contrapărţii toate instrumentele financiare derivate de credit care nu sunt incluse în portofoliul de tranzacţionare şi sunt achiziţionate ca protecţie pentru acoperirea unei expuneri din afara portofoliului de tranzacţionare sau a unei expuneri la riscul de credit al contrapărţii, dacă protecţia creditului este recunoscută în temeiul Regulamentului nr.112/2018.</w:t>
            </w:r>
          </w:p>
          <w:p w14:paraId="18C87F27" w14:textId="77777777" w:rsidR="0053355A" w:rsidRPr="008070DB" w:rsidRDefault="0053355A" w:rsidP="003456B0">
            <w:pPr>
              <w:tabs>
                <w:tab w:val="left" w:pos="540"/>
              </w:tabs>
              <w:ind w:left="-43"/>
              <w:jc w:val="both"/>
              <w:rPr>
                <w:b/>
                <w:bCs/>
                <w:sz w:val="18"/>
                <w:szCs w:val="18"/>
                <w:lang w:val="ro-MD"/>
              </w:rPr>
            </w:pPr>
          </w:p>
          <w:p w14:paraId="2A348703" w14:textId="5EC2AA4C" w:rsidR="0053355A" w:rsidRPr="008070DB" w:rsidRDefault="0053355A" w:rsidP="003456B0">
            <w:pPr>
              <w:tabs>
                <w:tab w:val="left" w:pos="540"/>
              </w:tabs>
              <w:ind w:left="-43"/>
              <w:jc w:val="both"/>
              <w:rPr>
                <w:b/>
                <w:bCs/>
                <w:sz w:val="18"/>
                <w:szCs w:val="18"/>
                <w:lang w:val="ro-MD"/>
              </w:rPr>
            </w:pPr>
            <w:r w:rsidRPr="008070DB">
              <w:rPr>
                <w:b/>
                <w:bCs/>
                <w:i/>
                <w:iCs/>
                <w:sz w:val="18"/>
                <w:szCs w:val="18"/>
                <w:lang w:val="ro-RO" w:eastAsia="ro-MD"/>
              </w:rPr>
              <w:t xml:space="preserve">Prevederi existente - </w:t>
            </w:r>
            <w:r w:rsidRPr="008070DB">
              <w:rPr>
                <w:i/>
                <w:iCs/>
                <w:sz w:val="18"/>
                <w:szCs w:val="18"/>
                <w:lang w:val="ro-RO" w:eastAsia="ro-MD"/>
              </w:rPr>
              <w:t>Regulamentul nr.220/2025</w:t>
            </w:r>
          </w:p>
        </w:tc>
        <w:tc>
          <w:tcPr>
            <w:tcW w:w="1554" w:type="dxa"/>
          </w:tcPr>
          <w:p w14:paraId="3C2C3C0E" w14:textId="24FEDA9D" w:rsidR="001A4DE8" w:rsidRPr="00A96E09" w:rsidRDefault="001A4DE8"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53D06D6A" w14:textId="77777777" w:rsidR="001A4DE8" w:rsidRPr="00A96E09" w:rsidRDefault="001A4DE8" w:rsidP="00C14AF6">
            <w:pPr>
              <w:jc w:val="both"/>
              <w:rPr>
                <w:sz w:val="18"/>
                <w:szCs w:val="18"/>
                <w:lang w:val="ro-MD"/>
              </w:rPr>
            </w:pPr>
          </w:p>
        </w:tc>
      </w:tr>
      <w:tr w:rsidR="001A4DE8" w:rsidRPr="00A96E09" w14:paraId="0BF418ED" w14:textId="77777777" w:rsidTr="00C14AF6">
        <w:trPr>
          <w:trHeight w:val="918"/>
        </w:trPr>
        <w:tc>
          <w:tcPr>
            <w:tcW w:w="3866" w:type="dxa"/>
          </w:tcPr>
          <w:p w14:paraId="6ED9DC59" w14:textId="5A160C18" w:rsidR="001A4DE8" w:rsidRPr="00A96E09" w:rsidRDefault="001A4DE8" w:rsidP="003456B0">
            <w:pPr>
              <w:pStyle w:val="title-article-norm"/>
              <w:jc w:val="both"/>
              <w:rPr>
                <w:i w:val="0"/>
                <w:sz w:val="18"/>
                <w:szCs w:val="18"/>
                <w:lang w:val="ro-MD"/>
              </w:rPr>
            </w:pPr>
            <w:r w:rsidRPr="00A96E09">
              <w:rPr>
                <w:i w:val="0"/>
                <w:sz w:val="18"/>
                <w:szCs w:val="18"/>
                <w:lang w:val="ro-MD"/>
              </w:rPr>
              <w:t xml:space="preserve">(5) Dacă instrumentele de tip credit default swap vândute de o instituție sunt tratate de aceasta ca protecție a creditului furnizată și fac obiectul unei cerințe de fonduri proprii pentru riscul de credit al activului suport la întregul cuantum noţional, valoarea expunerii acestor instrumente la CCT în afara portofoliului de tranzacționare este zero. </w:t>
            </w:r>
          </w:p>
        </w:tc>
        <w:tc>
          <w:tcPr>
            <w:tcW w:w="4356" w:type="dxa"/>
          </w:tcPr>
          <w:p w14:paraId="341E2AAA" w14:textId="014C4E4F" w:rsidR="001A4DE8" w:rsidRPr="008070DB" w:rsidRDefault="001A4DE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12.</w:t>
            </w:r>
            <w:r w:rsidRPr="008070DB">
              <w:rPr>
                <w:rFonts w:ascii="Times New Roman" w:hAnsi="Times New Roman" w:cs="Times New Roman"/>
                <w:sz w:val="18"/>
                <w:szCs w:val="18"/>
                <w:lang w:val="ro-MD"/>
              </w:rPr>
              <w:t xml:space="preserve"> Dacă instrumentele de tip credit default swap vândute de bancă sunt tratate ca protecţie a creditului furnizată de aceasta şi fac obiectul unei cerinţe de fonduri proprii pentru riscul de credit al activului suport la între</w:t>
            </w:r>
            <w:r w:rsidR="00657DA7" w:rsidRPr="008070DB">
              <w:rPr>
                <w:rFonts w:ascii="Times New Roman" w:hAnsi="Times New Roman" w:cs="Times New Roman"/>
                <w:sz w:val="18"/>
                <w:szCs w:val="18"/>
                <w:lang w:val="ro-MD"/>
              </w:rPr>
              <w:t>a</w:t>
            </w:r>
            <w:r w:rsidRPr="008070DB">
              <w:rPr>
                <w:rFonts w:ascii="Times New Roman" w:hAnsi="Times New Roman" w:cs="Times New Roman"/>
                <w:sz w:val="18"/>
                <w:szCs w:val="18"/>
                <w:lang w:val="ro-MD"/>
              </w:rPr>
              <w:t>g</w:t>
            </w:r>
            <w:r w:rsidR="00657DA7" w:rsidRPr="008070DB">
              <w:rPr>
                <w:rFonts w:ascii="Times New Roman" w:hAnsi="Times New Roman" w:cs="Times New Roman"/>
                <w:sz w:val="18"/>
                <w:szCs w:val="18"/>
                <w:lang w:val="ro-MD"/>
              </w:rPr>
              <w:t xml:space="preserve">ă valoare </w:t>
            </w:r>
            <w:r w:rsidRPr="008070DB">
              <w:rPr>
                <w:rFonts w:ascii="Times New Roman" w:hAnsi="Times New Roman" w:cs="Times New Roman"/>
                <w:sz w:val="18"/>
                <w:szCs w:val="18"/>
                <w:lang w:val="ro-MD"/>
              </w:rPr>
              <w:t>noţional</w:t>
            </w:r>
            <w:r w:rsidR="00657DA7" w:rsidRPr="008070DB">
              <w:rPr>
                <w:rFonts w:ascii="Times New Roman" w:hAnsi="Times New Roman" w:cs="Times New Roman"/>
                <w:sz w:val="18"/>
                <w:szCs w:val="18"/>
                <w:lang w:val="ro-MD"/>
              </w:rPr>
              <w:t>ă</w:t>
            </w:r>
            <w:r w:rsidRPr="008070DB">
              <w:rPr>
                <w:rFonts w:ascii="Times New Roman" w:hAnsi="Times New Roman" w:cs="Times New Roman"/>
                <w:sz w:val="18"/>
                <w:szCs w:val="18"/>
                <w:lang w:val="ro-MD"/>
              </w:rPr>
              <w:t>, valoarea expunerii acestor instrumente la riscul de credit al contrapărţii în afara portofoliului de tranzacţionare este zero.</w:t>
            </w:r>
          </w:p>
          <w:p w14:paraId="01C67FC5" w14:textId="77777777" w:rsidR="001A4DE8" w:rsidRPr="008070DB" w:rsidRDefault="001A4DE8" w:rsidP="003456B0">
            <w:pPr>
              <w:tabs>
                <w:tab w:val="left" w:pos="540"/>
              </w:tabs>
              <w:ind w:left="-43"/>
              <w:jc w:val="both"/>
              <w:rPr>
                <w:b/>
                <w:bCs/>
                <w:sz w:val="18"/>
                <w:szCs w:val="18"/>
                <w:lang w:val="ro-MD"/>
              </w:rPr>
            </w:pPr>
          </w:p>
          <w:p w14:paraId="36E735F3" w14:textId="37206123" w:rsidR="0053355A" w:rsidRPr="008070DB" w:rsidRDefault="0053355A" w:rsidP="003456B0">
            <w:pPr>
              <w:tabs>
                <w:tab w:val="left" w:pos="540"/>
              </w:tabs>
              <w:ind w:left="-43"/>
              <w:jc w:val="both"/>
              <w:rPr>
                <w:b/>
                <w:bCs/>
                <w:sz w:val="18"/>
                <w:szCs w:val="18"/>
                <w:lang w:val="ro-MD"/>
              </w:rPr>
            </w:pPr>
            <w:r w:rsidRPr="008070DB">
              <w:rPr>
                <w:b/>
                <w:bCs/>
                <w:i/>
                <w:iCs/>
                <w:sz w:val="18"/>
                <w:szCs w:val="18"/>
                <w:lang w:val="ro-RO" w:eastAsia="ro-MD"/>
              </w:rPr>
              <w:t xml:space="preserve">Prevederi existente - </w:t>
            </w:r>
            <w:r w:rsidRPr="008070DB">
              <w:rPr>
                <w:i/>
                <w:iCs/>
                <w:sz w:val="18"/>
                <w:szCs w:val="18"/>
                <w:lang w:val="ro-RO" w:eastAsia="ro-MD"/>
              </w:rPr>
              <w:t>Regulamentul nr.220/2025</w:t>
            </w:r>
          </w:p>
        </w:tc>
        <w:tc>
          <w:tcPr>
            <w:tcW w:w="1554" w:type="dxa"/>
          </w:tcPr>
          <w:p w14:paraId="5F0D693E" w14:textId="045785CA" w:rsidR="001A4DE8" w:rsidRPr="00A96E09" w:rsidRDefault="001A4DE8"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1BC9581B" w14:textId="77777777" w:rsidR="001A4DE8" w:rsidRPr="00A96E09" w:rsidRDefault="001A4DE8" w:rsidP="00C14AF6">
            <w:pPr>
              <w:jc w:val="both"/>
              <w:rPr>
                <w:sz w:val="18"/>
                <w:szCs w:val="18"/>
                <w:lang w:val="ro-MD"/>
              </w:rPr>
            </w:pPr>
          </w:p>
        </w:tc>
      </w:tr>
      <w:tr w:rsidR="001A4DE8" w:rsidRPr="00A96E09" w14:paraId="08352A9D" w14:textId="77777777" w:rsidTr="00C14AF6">
        <w:trPr>
          <w:trHeight w:val="918"/>
        </w:trPr>
        <w:tc>
          <w:tcPr>
            <w:tcW w:w="3866" w:type="dxa"/>
          </w:tcPr>
          <w:p w14:paraId="359A3D10" w14:textId="77777777" w:rsidR="001A4DE8" w:rsidRPr="00A96E09" w:rsidRDefault="001A4DE8" w:rsidP="003456B0">
            <w:pPr>
              <w:pStyle w:val="title-article-norm"/>
              <w:numPr>
                <w:ilvl w:val="0"/>
                <w:numId w:val="10"/>
              </w:numPr>
              <w:ind w:left="0"/>
              <w:jc w:val="both"/>
              <w:rPr>
                <w:i w:val="0"/>
                <w:sz w:val="18"/>
                <w:szCs w:val="18"/>
                <w:lang w:val="ro-MD"/>
              </w:rPr>
            </w:pPr>
            <w:r w:rsidRPr="00A96E09">
              <w:rPr>
                <w:i w:val="0"/>
                <w:sz w:val="18"/>
                <w:szCs w:val="18"/>
                <w:lang w:val="ro-MD"/>
              </w:rPr>
              <w:lastRenderedPageBreak/>
              <w:t xml:space="preserve">(6) În cadrul metodelor prevăzute în secțiunile 3 - 6, valoarea expunerii pentru o anumită contraparte este egală cu suma valorilor expunerilor calculate pentru fiecare set de compensare cu contrapartida respectivă. </w:t>
            </w:r>
          </w:p>
          <w:p w14:paraId="79256AAC" w14:textId="77777777" w:rsidR="001A4DE8" w:rsidRPr="00A96E09" w:rsidRDefault="001A4DE8" w:rsidP="003456B0">
            <w:pPr>
              <w:pStyle w:val="title-article-norm"/>
              <w:numPr>
                <w:ilvl w:val="0"/>
                <w:numId w:val="10"/>
              </w:numPr>
              <w:ind w:left="0"/>
              <w:jc w:val="both"/>
              <w:rPr>
                <w:i w:val="0"/>
                <w:sz w:val="18"/>
                <w:szCs w:val="18"/>
                <w:lang w:val="ro-MD"/>
              </w:rPr>
            </w:pPr>
            <w:bookmarkStart w:id="10" w:name="_Hlk152328957"/>
            <w:r w:rsidRPr="00A96E09">
              <w:rPr>
                <w:i w:val="0"/>
                <w:sz w:val="18"/>
                <w:szCs w:val="18"/>
              </w:rPr>
              <w:t xml:space="preserve">Prin derogare de la primul paragraf, în cazul în care </w:t>
            </w:r>
            <w:proofErr w:type="gramStart"/>
            <w:r w:rsidRPr="00A96E09">
              <w:rPr>
                <w:i w:val="0"/>
                <w:sz w:val="18"/>
                <w:szCs w:val="18"/>
              </w:rPr>
              <w:t>un contract</w:t>
            </w:r>
            <w:proofErr w:type="gramEnd"/>
            <w:r w:rsidRPr="00A96E09">
              <w:rPr>
                <w:i w:val="0"/>
                <w:sz w:val="18"/>
                <w:szCs w:val="18"/>
              </w:rPr>
              <w:t xml:space="preserve"> în marjă se aplică mai multor seturi de compensare cu contrapartea respectivă, iar instituţia utilizează una dintre metodele prevăzute în secţiunile 3-6 pentru a calcula valoarea expunerii acestor seturi de compensare, valoarea expunerii se calculează în conformitate cu secţiunea relevantă</w:t>
            </w:r>
            <w:r w:rsidRPr="00A96E09">
              <w:rPr>
                <w:i w:val="0"/>
                <w:sz w:val="18"/>
                <w:szCs w:val="18"/>
                <w:lang w:val="ro-MD"/>
              </w:rPr>
              <w:t>.</w:t>
            </w:r>
          </w:p>
          <w:bookmarkEnd w:id="10"/>
          <w:p w14:paraId="6870FFC7" w14:textId="2B7A3CD9" w:rsidR="001A4DE8" w:rsidRPr="00A96E09" w:rsidRDefault="001A4DE8" w:rsidP="003456B0">
            <w:pPr>
              <w:pStyle w:val="title-article-norm"/>
              <w:jc w:val="both"/>
              <w:rPr>
                <w:i w:val="0"/>
                <w:sz w:val="18"/>
                <w:szCs w:val="18"/>
                <w:lang w:val="ro-MD"/>
              </w:rPr>
            </w:pPr>
            <w:r w:rsidRPr="00A96E09">
              <w:rPr>
                <w:i w:val="0"/>
                <w:sz w:val="18"/>
                <w:szCs w:val="18"/>
                <w:lang w:val="ro-MD"/>
              </w:rPr>
              <w:t>Pentru o anumită contraparte, valoarea expunerii pentru un anumit set de compensare a instrumentelor financiare derivate extrabursiere enumerate în anexa II, calculată în conformitate cu prezentul capitol, este valoarea mai mare dintre zero și diferența dintre suma valorilor expunerilor pentru toate seturile de compensare cu contrapartea și suma ajustărilor evaluării creditului pentru contrapartea respectivă, care este recunoscută de instituție ca fiind o reducere suportată a valorii contabile. Ajustările evaluărilor creditului se calculează fără să se țină cont de nicio ajustare compensatoare a valorii debitului atribuită propriului risc de credit al firmei care a fost deja exclus din fondurile proprii în conformitate cu articolul 33 alineatul (1) litera (c).</w:t>
            </w:r>
          </w:p>
        </w:tc>
        <w:tc>
          <w:tcPr>
            <w:tcW w:w="4356" w:type="dxa"/>
          </w:tcPr>
          <w:p w14:paraId="0B7D2E1F" w14:textId="77777777" w:rsidR="001A4DE8" w:rsidRPr="008070DB" w:rsidRDefault="001A4DE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13.</w:t>
            </w:r>
            <w:r w:rsidRPr="008070DB">
              <w:rPr>
                <w:rFonts w:ascii="Times New Roman" w:hAnsi="Times New Roman" w:cs="Times New Roman"/>
                <w:sz w:val="18"/>
                <w:szCs w:val="18"/>
                <w:lang w:val="ro-MD"/>
              </w:rPr>
              <w:t xml:space="preserve"> În cadrul metodelor prevăzute în capitolele III-V, valoarea expunerii pentru o anumită contraparte este egală cu suma valorilor expunerilor calculate pentru fiecare set de compensare cu contrapartea respectivă. </w:t>
            </w:r>
          </w:p>
          <w:p w14:paraId="5C5F1435" w14:textId="1FBD1312" w:rsidR="001A4DE8" w:rsidRPr="008070DB" w:rsidRDefault="001A4DE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14.</w:t>
            </w:r>
            <w:r w:rsidRPr="008070DB">
              <w:rPr>
                <w:rFonts w:ascii="Times New Roman" w:hAnsi="Times New Roman" w:cs="Times New Roman"/>
                <w:sz w:val="18"/>
                <w:szCs w:val="18"/>
                <w:lang w:val="ro-MD"/>
              </w:rPr>
              <w:t xml:space="preserve"> </w:t>
            </w:r>
            <w:r w:rsidRPr="008070DB">
              <w:rPr>
                <w:rFonts w:ascii="Times New Roman" w:eastAsia="Times New Roman" w:hAnsi="Times New Roman" w:cs="Times New Roman"/>
                <w:sz w:val="18"/>
                <w:szCs w:val="18"/>
                <w:lang w:val="ro-MD"/>
              </w:rPr>
              <w:t xml:space="preserve">Prin derogare de la prevederile punctului </w:t>
            </w:r>
            <w:r w:rsidR="00D43539" w:rsidRPr="00D43539">
              <w:rPr>
                <w:rFonts w:ascii="Times New Roman" w:eastAsia="Times New Roman" w:hAnsi="Times New Roman" w:cs="Times New Roman"/>
                <w:sz w:val="18"/>
                <w:szCs w:val="18"/>
                <w:lang w:val="ro-MD"/>
              </w:rPr>
              <w:t>13</w:t>
            </w:r>
            <w:r w:rsidRPr="00D43539">
              <w:rPr>
                <w:rFonts w:ascii="Times New Roman" w:eastAsia="Times New Roman" w:hAnsi="Times New Roman" w:cs="Times New Roman"/>
                <w:sz w:val="18"/>
                <w:szCs w:val="18"/>
                <w:lang w:val="ro-MD"/>
              </w:rPr>
              <w:t>,</w:t>
            </w:r>
            <w:r w:rsidRPr="008070DB">
              <w:rPr>
                <w:rFonts w:ascii="Times New Roman" w:eastAsia="Times New Roman" w:hAnsi="Times New Roman" w:cs="Times New Roman"/>
                <w:sz w:val="18"/>
                <w:szCs w:val="18"/>
                <w:lang w:val="ro-MD"/>
              </w:rPr>
              <w:t xml:space="preserve"> în cazul în care un contract în marjă se aplică mai multor seturi de compensare cu contrapartea respectivă, iar banca utilizează una dintre metodele prevăzute în capitolele III-V pentru a calcula valoarea expunerii acestor seturi de compensare, valoarea expunerii se calculează în conformitate cu </w:t>
            </w:r>
            <w:r w:rsidR="00657DA7" w:rsidRPr="008070DB">
              <w:rPr>
                <w:rFonts w:ascii="Times New Roman" w:eastAsia="Times New Roman" w:hAnsi="Times New Roman" w:cs="Times New Roman"/>
                <w:sz w:val="18"/>
                <w:szCs w:val="18"/>
                <w:lang w:val="ro-MD"/>
              </w:rPr>
              <w:t>capitolul</w:t>
            </w:r>
            <w:r w:rsidRPr="008070DB">
              <w:rPr>
                <w:rFonts w:ascii="Times New Roman" w:eastAsia="Times New Roman" w:hAnsi="Times New Roman" w:cs="Times New Roman"/>
                <w:sz w:val="18"/>
                <w:szCs w:val="18"/>
                <w:lang w:val="ro-MD"/>
              </w:rPr>
              <w:t xml:space="preserve"> relevant.</w:t>
            </w:r>
          </w:p>
          <w:p w14:paraId="5B7C91C6" w14:textId="77777777" w:rsidR="001A4DE8" w:rsidRPr="008070DB" w:rsidRDefault="001A4DE8" w:rsidP="003456B0">
            <w:pPr>
              <w:pStyle w:val="NoSpacing"/>
              <w:tabs>
                <w:tab w:val="left" w:pos="328"/>
              </w:tabs>
              <w:jc w:val="both"/>
              <w:rPr>
                <w:rFonts w:ascii="Times New Roman" w:eastAsia="Times New Roman" w:hAnsi="Times New Roman" w:cs="Times New Roman"/>
                <w:sz w:val="18"/>
                <w:szCs w:val="18"/>
                <w:lang w:val="ro-MD"/>
              </w:rPr>
            </w:pPr>
            <w:r w:rsidRPr="008070DB">
              <w:rPr>
                <w:rFonts w:ascii="Times New Roman" w:hAnsi="Times New Roman" w:cs="Times New Roman"/>
                <w:b/>
                <w:bCs/>
                <w:sz w:val="18"/>
                <w:szCs w:val="18"/>
                <w:lang w:val="ro-MD"/>
              </w:rPr>
              <w:t>15.</w:t>
            </w:r>
            <w:r w:rsidRPr="008070DB">
              <w:rPr>
                <w:rFonts w:ascii="Times New Roman" w:hAnsi="Times New Roman" w:cs="Times New Roman"/>
                <w:sz w:val="18"/>
                <w:szCs w:val="18"/>
                <w:lang w:val="ro-MD"/>
              </w:rPr>
              <w:t xml:space="preserve"> </w:t>
            </w:r>
            <w:r w:rsidRPr="008070DB">
              <w:rPr>
                <w:rFonts w:ascii="Times New Roman" w:eastAsia="Times New Roman" w:hAnsi="Times New Roman" w:cs="Times New Roman"/>
                <w:sz w:val="18"/>
                <w:szCs w:val="18"/>
                <w:lang w:val="ro-MD"/>
              </w:rPr>
              <w:t xml:space="preserve">Pentru o anumită contraparte, valoarea expunerii pentru un anumit set de compensare a instrumentelor financiare derivate extrabursiere enumerate în anexa nr.1 la Regulamentul nr.114/2018, calculată, este valoarea mai mare dintre zero şi diferenţa dintre suma valorilor expunerilor pentru toate seturile de compensare cu contrapartea şi suma valorilor ajustării evaluării creditului (CVA) pentru contrapartea respectivă, care este recunoscută de bancă ca fiind o reducere suportată a valorii contabile. Ajustările evaluării creditului, potrivit </w:t>
            </w:r>
            <w:r w:rsidR="00654B20" w:rsidRPr="008070DB">
              <w:rPr>
                <w:rFonts w:ascii="Times New Roman" w:eastAsia="Times New Roman" w:hAnsi="Times New Roman" w:cs="Times New Roman"/>
                <w:sz w:val="18"/>
                <w:szCs w:val="18"/>
                <w:lang w:val="ro-MD"/>
              </w:rPr>
              <w:t>prevederilor</w:t>
            </w:r>
            <w:r w:rsidRPr="008070DB">
              <w:rPr>
                <w:rFonts w:ascii="Times New Roman" w:eastAsia="Times New Roman" w:hAnsi="Times New Roman" w:cs="Times New Roman"/>
                <w:sz w:val="18"/>
                <w:szCs w:val="18"/>
                <w:lang w:val="ro-MD"/>
              </w:rPr>
              <w:t xml:space="preserve"> Regulamentul</w:t>
            </w:r>
            <w:r w:rsidR="00654B20" w:rsidRPr="008070DB">
              <w:rPr>
                <w:rFonts w:ascii="Times New Roman" w:eastAsia="Times New Roman" w:hAnsi="Times New Roman" w:cs="Times New Roman"/>
                <w:sz w:val="18"/>
                <w:szCs w:val="18"/>
                <w:lang w:val="ro-MD"/>
              </w:rPr>
              <w:t>ui</w:t>
            </w:r>
            <w:r w:rsidRPr="008070DB">
              <w:rPr>
                <w:rFonts w:ascii="Times New Roman" w:eastAsia="Times New Roman" w:hAnsi="Times New Roman" w:cs="Times New Roman"/>
                <w:sz w:val="18"/>
                <w:szCs w:val="18"/>
                <w:lang w:val="ro-MD"/>
              </w:rPr>
              <w:t xml:space="preserve"> cu privire la tratamentul riscului de ajustare a evaluării creditului pentru bănci</w:t>
            </w:r>
            <w:r w:rsidR="001E76F1" w:rsidRPr="008070DB">
              <w:rPr>
                <w:rFonts w:ascii="Times New Roman" w:eastAsia="Times New Roman" w:hAnsi="Times New Roman" w:cs="Times New Roman"/>
                <w:sz w:val="18"/>
                <w:szCs w:val="18"/>
                <w:lang w:val="ro-MD"/>
              </w:rPr>
              <w:t>,</w:t>
            </w:r>
            <w:r w:rsidR="00654B20" w:rsidRPr="008070DB">
              <w:rPr>
                <w:rFonts w:ascii="Times New Roman" w:eastAsia="Times New Roman" w:hAnsi="Times New Roman" w:cs="Times New Roman"/>
                <w:sz w:val="18"/>
                <w:szCs w:val="18"/>
                <w:lang w:val="ro-MD"/>
              </w:rPr>
              <w:t xml:space="preserve"> </w:t>
            </w:r>
            <w:r w:rsidRPr="008070DB">
              <w:rPr>
                <w:rFonts w:ascii="Times New Roman" w:eastAsia="Times New Roman" w:hAnsi="Times New Roman" w:cs="Times New Roman"/>
                <w:sz w:val="18"/>
                <w:szCs w:val="18"/>
                <w:lang w:val="ro-MD"/>
              </w:rPr>
              <w:t>se calculează fără să se ţină cont de nicio ajustare compensatoare a evaluării debitului atribuită propriului risc de credit al băncii care a fost deja exclusă din fondurile proprii în temeiul punctului 26 subpunctul 3) din Regulamentul cu privire la fondurile proprii ale băncilor şi cerinţele de capital, aprobat prin Hotărârea Comitetului executiv al Băncii Naționale a Moldovei nr. 109/2018 (în continuare – Regulamentul nr. 109/2018).</w:t>
            </w:r>
          </w:p>
          <w:p w14:paraId="521170ED" w14:textId="3C8B6689" w:rsidR="0053355A" w:rsidRPr="008070DB" w:rsidRDefault="0053355A" w:rsidP="003456B0">
            <w:pPr>
              <w:pStyle w:val="NoSpacing"/>
              <w:tabs>
                <w:tab w:val="left" w:pos="328"/>
              </w:tabs>
              <w:jc w:val="both"/>
              <w:rPr>
                <w:rFonts w:ascii="Times New Roman" w:hAnsi="Times New Roman" w:cs="Times New Roman"/>
                <w:b/>
                <w:bCs/>
                <w:sz w:val="18"/>
                <w:szCs w:val="18"/>
                <w:lang w:val="ro-MD"/>
              </w:rPr>
            </w:pPr>
            <w:r w:rsidRPr="008070DB">
              <w:rPr>
                <w:rFonts w:ascii="Times New Roman" w:eastAsia="Times New Roman" w:hAnsi="Times New Roman" w:cs="Times New Roman"/>
                <w:b/>
                <w:bCs/>
                <w:i/>
                <w:iCs/>
                <w:sz w:val="18"/>
                <w:szCs w:val="18"/>
                <w:lang w:val="ro-RO"/>
              </w:rPr>
              <w:t xml:space="preserve">Prevederi existente - </w:t>
            </w:r>
            <w:r w:rsidRPr="008070DB">
              <w:rPr>
                <w:rFonts w:ascii="Times New Roman" w:eastAsia="Times New Roman" w:hAnsi="Times New Roman" w:cs="Times New Roman"/>
                <w:i/>
                <w:iCs/>
                <w:sz w:val="18"/>
                <w:szCs w:val="18"/>
                <w:lang w:val="ro-RO"/>
              </w:rPr>
              <w:t>Regulamentul nr.220/2025</w:t>
            </w:r>
          </w:p>
        </w:tc>
        <w:tc>
          <w:tcPr>
            <w:tcW w:w="1554" w:type="dxa"/>
          </w:tcPr>
          <w:p w14:paraId="022602B4" w14:textId="2C6FDA4A" w:rsidR="001A4DE8" w:rsidRPr="00A96E09" w:rsidRDefault="001A4DE8" w:rsidP="00C14AF6">
            <w:pPr>
              <w:jc w:val="both"/>
              <w:rPr>
                <w:sz w:val="18"/>
                <w:szCs w:val="18"/>
                <w:lang w:val="ro-MD"/>
              </w:rPr>
            </w:pPr>
            <w:r w:rsidRPr="00A96E09">
              <w:rPr>
                <w:sz w:val="18"/>
                <w:szCs w:val="18"/>
                <w:lang w:val="ro-MD"/>
              </w:rPr>
              <w:t xml:space="preserve">Compatibil </w:t>
            </w:r>
          </w:p>
        </w:tc>
        <w:tc>
          <w:tcPr>
            <w:tcW w:w="4683" w:type="dxa"/>
            <w:tcBorders>
              <w:top w:val="single" w:sz="4" w:space="0" w:color="auto"/>
              <w:bottom w:val="single" w:sz="4" w:space="0" w:color="auto"/>
            </w:tcBorders>
          </w:tcPr>
          <w:p w14:paraId="16CDA2B8" w14:textId="77777777" w:rsidR="001A4DE8" w:rsidRPr="00A96E09" w:rsidRDefault="001A4DE8" w:rsidP="00C14AF6">
            <w:pPr>
              <w:jc w:val="both"/>
              <w:rPr>
                <w:sz w:val="18"/>
                <w:szCs w:val="18"/>
                <w:lang w:val="ro-MD"/>
              </w:rPr>
            </w:pPr>
          </w:p>
        </w:tc>
      </w:tr>
      <w:tr w:rsidR="001A4DE8" w:rsidRPr="00A96E09" w14:paraId="52165800" w14:textId="77777777" w:rsidTr="00C14AF6">
        <w:trPr>
          <w:trHeight w:val="918"/>
        </w:trPr>
        <w:tc>
          <w:tcPr>
            <w:tcW w:w="3866" w:type="dxa"/>
          </w:tcPr>
          <w:p w14:paraId="5D1C405D"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(7) Atunci când calculează valoarea expunerii în conformitate cu metodele prevăzute în secţiunile 3, 4 și 5, instituţiile pot trata două contracte derivate extrabursiere incluse în același acord de compensare care se potrivesc perfect ca fiind un </w:t>
            </w:r>
            <w:r w:rsidRPr="00A96E09">
              <w:rPr>
                <w:i w:val="0"/>
                <w:sz w:val="18"/>
                <w:szCs w:val="18"/>
                <w:lang w:val="ro-MD"/>
              </w:rPr>
              <w:lastRenderedPageBreak/>
              <w:t>singur contract cu o valoare principală noţională egală cu zero.</w:t>
            </w:r>
          </w:p>
          <w:p w14:paraId="1FDE24AD" w14:textId="77777777" w:rsidR="001A4DE8" w:rsidRPr="00A96E09" w:rsidRDefault="001A4DE8" w:rsidP="003456B0">
            <w:pPr>
              <w:pStyle w:val="title-article-norm"/>
              <w:jc w:val="both"/>
              <w:rPr>
                <w:i w:val="0"/>
                <w:sz w:val="18"/>
                <w:szCs w:val="18"/>
                <w:lang w:val="ro-MD"/>
              </w:rPr>
            </w:pPr>
            <w:r w:rsidRPr="00A96E09">
              <w:rPr>
                <w:i w:val="0"/>
                <w:sz w:val="18"/>
                <w:szCs w:val="18"/>
                <w:lang w:val="ro-MD"/>
              </w:rPr>
              <w:t>În sensul primului paragraf, două contracte derivate extrabursiere se  potrivesc perfect în cazul în care acestea îndeplinesc cumulativ următoarele condiţii:</w:t>
            </w:r>
          </w:p>
          <w:p w14:paraId="2831C21D" w14:textId="77777777" w:rsidR="001A4DE8" w:rsidRPr="00A96E09" w:rsidRDefault="001A4DE8" w:rsidP="003456B0">
            <w:pPr>
              <w:pStyle w:val="title-article-norm"/>
              <w:jc w:val="both"/>
              <w:rPr>
                <w:i w:val="0"/>
                <w:sz w:val="18"/>
                <w:szCs w:val="18"/>
                <w:lang w:val="ro-MD"/>
              </w:rPr>
            </w:pPr>
            <w:r w:rsidRPr="00A96E09">
              <w:rPr>
                <w:i w:val="0"/>
                <w:sz w:val="18"/>
                <w:szCs w:val="18"/>
                <w:lang w:val="ro-MD"/>
              </w:rPr>
              <w:t>(a) poziţiile lor de risc sunt de semn opus;</w:t>
            </w:r>
          </w:p>
          <w:p w14:paraId="17F08E08" w14:textId="77777777" w:rsidR="001A4DE8" w:rsidRPr="00A96E09" w:rsidRDefault="001A4DE8" w:rsidP="003456B0">
            <w:pPr>
              <w:pStyle w:val="title-article-norm"/>
              <w:jc w:val="both"/>
              <w:rPr>
                <w:i w:val="0"/>
                <w:sz w:val="18"/>
                <w:szCs w:val="18"/>
                <w:lang w:val="ro-MD"/>
              </w:rPr>
            </w:pPr>
            <w:r w:rsidRPr="00A96E09">
              <w:rPr>
                <w:i w:val="0"/>
                <w:sz w:val="18"/>
                <w:szCs w:val="18"/>
                <w:lang w:val="ro-MD"/>
              </w:rPr>
              <w:t>(b) caracteristicile lor, cu excepţia datei tranzacţionării, sunt identice;</w:t>
            </w:r>
          </w:p>
          <w:p w14:paraId="31E566B9" w14:textId="028584EE" w:rsidR="001A4DE8" w:rsidRPr="00A96E09" w:rsidRDefault="001A4DE8" w:rsidP="003456B0">
            <w:pPr>
              <w:pStyle w:val="title-article-norm"/>
              <w:jc w:val="both"/>
              <w:rPr>
                <w:i w:val="0"/>
                <w:sz w:val="18"/>
                <w:szCs w:val="18"/>
                <w:lang w:val="ro-MD"/>
              </w:rPr>
            </w:pPr>
            <w:r w:rsidRPr="00A96E09">
              <w:rPr>
                <w:i w:val="0"/>
                <w:sz w:val="18"/>
                <w:szCs w:val="18"/>
                <w:lang w:val="ro-MD"/>
              </w:rPr>
              <w:t>(c) fluxurile lor de numerar se compensează reciproc în proporţie de 100 %.</w:t>
            </w:r>
          </w:p>
        </w:tc>
        <w:tc>
          <w:tcPr>
            <w:tcW w:w="4356" w:type="dxa"/>
          </w:tcPr>
          <w:p w14:paraId="57493E87" w14:textId="339166CB" w:rsidR="001A4DE8" w:rsidRPr="008070DB" w:rsidRDefault="001A4DE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lastRenderedPageBreak/>
              <w:t>16.</w:t>
            </w:r>
            <w:r w:rsidRPr="008070DB">
              <w:rPr>
                <w:rFonts w:ascii="Times New Roman" w:hAnsi="Times New Roman" w:cs="Times New Roman"/>
                <w:sz w:val="18"/>
                <w:szCs w:val="18"/>
                <w:lang w:val="ro-MD"/>
              </w:rPr>
              <w:t xml:space="preserve"> Atunci când calculează valoarea expunerii în conformitate cu metodele prevăzute în capitolele III-V, băncile pot trata două contracte derivate extrabursiere incluse în același acord de compensare care se potrivesc perfect ca fiind un singur contract cu o valoare noţională egală cu zero.</w:t>
            </w:r>
          </w:p>
          <w:p w14:paraId="23ECF211" w14:textId="7506A280" w:rsidR="001A4DE8" w:rsidRPr="008070DB" w:rsidRDefault="001A4DE8" w:rsidP="003456B0">
            <w:pPr>
              <w:jc w:val="both"/>
              <w:rPr>
                <w:sz w:val="18"/>
                <w:szCs w:val="18"/>
                <w:lang w:val="ro-MD" w:eastAsia="en-US"/>
              </w:rPr>
            </w:pPr>
            <w:r w:rsidRPr="008070DB">
              <w:rPr>
                <w:b/>
                <w:bCs/>
                <w:sz w:val="18"/>
                <w:szCs w:val="18"/>
                <w:lang w:val="ro-MD"/>
              </w:rPr>
              <w:lastRenderedPageBreak/>
              <w:t>17.</w:t>
            </w:r>
            <w:r w:rsidRPr="008070DB">
              <w:rPr>
                <w:sz w:val="18"/>
                <w:szCs w:val="18"/>
                <w:lang w:val="ro-MD"/>
              </w:rPr>
              <w:t xml:space="preserve"> </w:t>
            </w:r>
            <w:r w:rsidRPr="008070DB">
              <w:rPr>
                <w:sz w:val="18"/>
                <w:szCs w:val="18"/>
                <w:lang w:val="ro-MD" w:eastAsia="en-US"/>
              </w:rPr>
              <w:t xml:space="preserve">În sensul punctului </w:t>
            </w:r>
            <w:r w:rsidR="00D43539" w:rsidRPr="00D43539">
              <w:rPr>
                <w:sz w:val="18"/>
                <w:szCs w:val="18"/>
                <w:lang w:val="ro-MD" w:eastAsia="en-US"/>
              </w:rPr>
              <w:t>16</w:t>
            </w:r>
            <w:r w:rsidRPr="00D43539">
              <w:rPr>
                <w:sz w:val="18"/>
                <w:szCs w:val="18"/>
                <w:lang w:val="ro-MD" w:eastAsia="en-US"/>
              </w:rPr>
              <w:t>,</w:t>
            </w:r>
            <w:r w:rsidRPr="008070DB">
              <w:rPr>
                <w:sz w:val="18"/>
                <w:szCs w:val="18"/>
                <w:lang w:val="ro-MD" w:eastAsia="en-US"/>
              </w:rPr>
              <w:t xml:space="preserve"> două contracte derivate extrabursiere se potrivesc perfect în cazul în care acestea îndeplinesc cumulativ următoarele condiţii:</w:t>
            </w:r>
          </w:p>
          <w:p w14:paraId="540F423A" w14:textId="66986FD2" w:rsidR="001A4DE8" w:rsidRPr="008070DB" w:rsidRDefault="001A4DE8" w:rsidP="003456B0">
            <w:pPr>
              <w:pStyle w:val="ListParagraph"/>
              <w:numPr>
                <w:ilvl w:val="1"/>
                <w:numId w:val="30"/>
              </w:numPr>
              <w:tabs>
                <w:tab w:val="left" w:pos="284"/>
              </w:tabs>
              <w:spacing w:after="160" w:line="259" w:lineRule="auto"/>
              <w:jc w:val="both"/>
              <w:rPr>
                <w:sz w:val="18"/>
                <w:szCs w:val="18"/>
                <w:lang w:val="ro-MD" w:eastAsia="en-US"/>
              </w:rPr>
            </w:pPr>
            <w:r w:rsidRPr="008070DB">
              <w:rPr>
                <w:sz w:val="18"/>
                <w:szCs w:val="18"/>
                <w:lang w:val="ro-MD" w:eastAsia="en-US"/>
              </w:rPr>
              <w:t>poziţiile lor de risc sunt de semn opus;</w:t>
            </w:r>
          </w:p>
          <w:p w14:paraId="6B7B4016" w14:textId="77777777" w:rsidR="00493B24" w:rsidRPr="008070DB" w:rsidRDefault="001A4DE8" w:rsidP="003456B0">
            <w:pPr>
              <w:pStyle w:val="ListParagraph"/>
              <w:numPr>
                <w:ilvl w:val="1"/>
                <w:numId w:val="30"/>
              </w:numPr>
              <w:tabs>
                <w:tab w:val="left" w:pos="284"/>
              </w:tabs>
              <w:spacing w:after="160" w:line="259" w:lineRule="auto"/>
              <w:jc w:val="both"/>
              <w:rPr>
                <w:sz w:val="18"/>
                <w:szCs w:val="18"/>
                <w:lang w:val="ro-MD" w:eastAsia="en-US"/>
              </w:rPr>
            </w:pPr>
            <w:r w:rsidRPr="008070DB">
              <w:rPr>
                <w:sz w:val="18"/>
                <w:szCs w:val="18"/>
                <w:lang w:val="ro-MD" w:eastAsia="en-US"/>
              </w:rPr>
              <w:t>caracteristicile lor, cu excepţia datei tranzacţionării, sunt identice;</w:t>
            </w:r>
          </w:p>
          <w:p w14:paraId="284D3822" w14:textId="3091FBF2" w:rsidR="001A4DE8" w:rsidRPr="008070DB" w:rsidRDefault="001A4DE8" w:rsidP="003456B0">
            <w:pPr>
              <w:pStyle w:val="ListParagraph"/>
              <w:numPr>
                <w:ilvl w:val="1"/>
                <w:numId w:val="30"/>
              </w:numPr>
              <w:tabs>
                <w:tab w:val="left" w:pos="284"/>
              </w:tabs>
              <w:spacing w:after="160" w:line="259" w:lineRule="auto"/>
              <w:jc w:val="both"/>
              <w:rPr>
                <w:sz w:val="18"/>
                <w:szCs w:val="18"/>
                <w:lang w:val="ro-MD" w:eastAsia="en-US"/>
              </w:rPr>
            </w:pPr>
            <w:r w:rsidRPr="008070DB">
              <w:rPr>
                <w:sz w:val="18"/>
                <w:szCs w:val="18"/>
                <w:lang w:val="ro-MD" w:eastAsia="en-US"/>
              </w:rPr>
              <w:t>fluxurile lor de numerar se compensează reciproc în proporţie de 100 %.</w:t>
            </w:r>
          </w:p>
          <w:p w14:paraId="5536348D" w14:textId="77777777" w:rsidR="001A4DE8" w:rsidRPr="008070DB" w:rsidRDefault="001A4DE8" w:rsidP="003456B0">
            <w:pPr>
              <w:pStyle w:val="NoSpacing"/>
              <w:tabs>
                <w:tab w:val="left" w:pos="328"/>
              </w:tabs>
              <w:jc w:val="both"/>
              <w:rPr>
                <w:rFonts w:ascii="Times New Roman" w:hAnsi="Times New Roman" w:cs="Times New Roman"/>
                <w:b/>
                <w:bCs/>
                <w:sz w:val="18"/>
                <w:szCs w:val="18"/>
                <w:lang w:val="ro-MD"/>
              </w:rPr>
            </w:pPr>
          </w:p>
          <w:p w14:paraId="3C98D816" w14:textId="77777777" w:rsidR="0053355A" w:rsidRPr="008070DB" w:rsidRDefault="0053355A" w:rsidP="003456B0">
            <w:pPr>
              <w:pStyle w:val="NoSpacing"/>
              <w:tabs>
                <w:tab w:val="left" w:pos="328"/>
              </w:tabs>
              <w:jc w:val="both"/>
              <w:rPr>
                <w:rFonts w:ascii="Times New Roman" w:hAnsi="Times New Roman" w:cs="Times New Roman"/>
                <w:b/>
                <w:bCs/>
                <w:sz w:val="18"/>
                <w:szCs w:val="18"/>
                <w:lang w:val="ro-MD"/>
              </w:rPr>
            </w:pPr>
          </w:p>
          <w:p w14:paraId="65A36CD9" w14:textId="77777777" w:rsidR="0053355A" w:rsidRPr="008070DB" w:rsidRDefault="0053355A" w:rsidP="003456B0">
            <w:pPr>
              <w:pStyle w:val="NoSpacing"/>
              <w:tabs>
                <w:tab w:val="left" w:pos="328"/>
              </w:tabs>
              <w:jc w:val="both"/>
              <w:rPr>
                <w:rFonts w:ascii="Times New Roman" w:hAnsi="Times New Roman" w:cs="Times New Roman"/>
                <w:b/>
                <w:bCs/>
                <w:sz w:val="18"/>
                <w:szCs w:val="18"/>
                <w:lang w:val="ro-MD"/>
              </w:rPr>
            </w:pPr>
          </w:p>
          <w:p w14:paraId="3FDDBBEE" w14:textId="77777777" w:rsidR="0053355A" w:rsidRPr="008070DB" w:rsidRDefault="0053355A" w:rsidP="003456B0">
            <w:pPr>
              <w:pStyle w:val="NoSpacing"/>
              <w:tabs>
                <w:tab w:val="left" w:pos="328"/>
              </w:tabs>
              <w:jc w:val="both"/>
              <w:rPr>
                <w:rFonts w:ascii="Times New Roman" w:hAnsi="Times New Roman" w:cs="Times New Roman"/>
                <w:b/>
                <w:bCs/>
                <w:sz w:val="18"/>
                <w:szCs w:val="18"/>
                <w:lang w:val="ro-MD"/>
              </w:rPr>
            </w:pPr>
          </w:p>
          <w:p w14:paraId="48A28D1D" w14:textId="387F79E5" w:rsidR="0053355A" w:rsidRPr="008070DB" w:rsidRDefault="0053355A"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1F0C7D6F" w14:textId="5A978DAC"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2EC46AE6" w14:textId="77777777" w:rsidR="001A4DE8" w:rsidRPr="00A96E09" w:rsidRDefault="001A4DE8" w:rsidP="00C14AF6">
            <w:pPr>
              <w:jc w:val="both"/>
              <w:rPr>
                <w:sz w:val="18"/>
                <w:szCs w:val="18"/>
                <w:lang w:val="ro-MD"/>
              </w:rPr>
            </w:pPr>
          </w:p>
        </w:tc>
      </w:tr>
      <w:tr w:rsidR="001A4DE8" w:rsidRPr="00E57BBB" w14:paraId="40DD666C" w14:textId="77777777" w:rsidTr="00C14AF6">
        <w:trPr>
          <w:trHeight w:val="918"/>
        </w:trPr>
        <w:tc>
          <w:tcPr>
            <w:tcW w:w="3866" w:type="dxa"/>
          </w:tcPr>
          <w:p w14:paraId="2BDE232F" w14:textId="4C2CCCDB" w:rsidR="001A4DE8" w:rsidRPr="00A96E09" w:rsidRDefault="001A4DE8" w:rsidP="003456B0">
            <w:pPr>
              <w:pStyle w:val="title-article-norm"/>
              <w:jc w:val="both"/>
              <w:rPr>
                <w:i w:val="0"/>
                <w:sz w:val="18"/>
                <w:szCs w:val="18"/>
                <w:lang w:val="ro-MD"/>
              </w:rPr>
            </w:pPr>
            <w:r w:rsidRPr="00A96E09">
              <w:rPr>
                <w:i w:val="0"/>
                <w:sz w:val="18"/>
                <w:szCs w:val="18"/>
                <w:lang w:val="ro-MD"/>
              </w:rPr>
              <w:t xml:space="preserve">(8) Instituțiile determină valoarea expunerii pentru expunerile care rezultă din tranzacții cu termen lung de decontare prin oricare din metodele prevăzute în secțiunile 3 – 6 din prezentul capitol, indiferent de metoda aleasă pentru a trata instrumentele financiare derivate extrabursiere și tranzacțiile de răscumpărare, operațiunile de dare sau luare de titluri sau mărfuri cu împrumut și tranzacțiile de creditare în marjă. La calculul cerințelor de fonduri proprii pentru tranzacțiile cu termen lung de decontare, o instituție care utilizează abordarea prevăzută în capitolul 3 poate atribui ponderi de risc în cadrul abordării prevăzute în capitolul 2, în mod permanent și indiferent de importanța acestor poziții. </w:t>
            </w:r>
          </w:p>
        </w:tc>
        <w:tc>
          <w:tcPr>
            <w:tcW w:w="4356" w:type="dxa"/>
          </w:tcPr>
          <w:p w14:paraId="6DBBB9AF" w14:textId="51A1D083" w:rsidR="001A4DE8" w:rsidRPr="008070DB" w:rsidRDefault="001A4DE8" w:rsidP="003456B0">
            <w:pPr>
              <w:pStyle w:val="NoSpacing"/>
              <w:tabs>
                <w:tab w:val="left" w:pos="328"/>
              </w:tabs>
              <w:jc w:val="both"/>
              <w:rPr>
                <w:rFonts w:ascii="Times New Roman" w:hAnsi="Times New Roman" w:cs="Times New Roman"/>
                <w:i/>
                <w:iCs/>
                <w:sz w:val="18"/>
                <w:szCs w:val="18"/>
                <w:lang w:val="ro-MD"/>
              </w:rPr>
            </w:pPr>
            <w:r w:rsidRPr="008070DB">
              <w:rPr>
                <w:rFonts w:ascii="Times New Roman" w:hAnsi="Times New Roman" w:cs="Times New Roman"/>
                <w:b/>
                <w:bCs/>
                <w:sz w:val="18"/>
                <w:szCs w:val="18"/>
                <w:lang w:val="ro-MD"/>
              </w:rPr>
              <w:t>18.</w:t>
            </w:r>
            <w:r w:rsidRPr="008070DB">
              <w:rPr>
                <w:rFonts w:ascii="Times New Roman" w:hAnsi="Times New Roman" w:cs="Times New Roman"/>
                <w:sz w:val="18"/>
                <w:szCs w:val="18"/>
                <w:lang w:val="ro-MD"/>
              </w:rPr>
              <w:t xml:space="preserve"> Băncile determină valoarea expunerilor care rezultă din tranzacţii cu termen lung de decontare prin oricare din metodele prevăzute în capitolele III-V, indiferent de metoda aleasă pentru a trata instrumentele financiare derivate extrabursiere şi tranzacţiile de răscumpărare, operaţiunile de dare sau luare de titluri sau mărfuri cu împrumut şi tranzacţiile de creditare în marjă.</w:t>
            </w:r>
            <w:r w:rsidR="004B470A" w:rsidRPr="008070DB">
              <w:rPr>
                <w:rFonts w:ascii="Times New Roman" w:hAnsi="Times New Roman" w:cs="Times New Roman"/>
                <w:sz w:val="18"/>
                <w:szCs w:val="18"/>
                <w:lang w:val="ro-MD"/>
              </w:rPr>
              <w:t xml:space="preserve"> </w:t>
            </w:r>
            <w:r w:rsidR="004B470A" w:rsidRPr="008070DB">
              <w:rPr>
                <w:rFonts w:ascii="Times New Roman" w:hAnsi="Times New Roman" w:cs="Times New Roman"/>
                <w:i/>
                <w:iCs/>
                <w:sz w:val="18"/>
                <w:szCs w:val="18"/>
              </w:rPr>
              <w:t>La calculul cerințelor de fonduri proprii pentru tranzacțiile cu termen lung de decontare, banca care utilizează abordarea prevăzută pe metodele modelului intern poate atribui ponderi de risc în cadrul abordării prevăzute în Regulamentul cu privire la tratamentul riscului de credit pentru bănci potrivit abordării standardizate, aprobat prin Hotărârea Comitetului executiv al Băncii Naţionale a Moldovei nr.111/2018 (în continuare – Regulamentul nr.111/2018), în mod permanent și indiferent de importanța acestor poziții.</w:t>
            </w:r>
            <w:r w:rsidR="004B470A" w:rsidRPr="008070DB">
              <w:rPr>
                <w:rFonts w:ascii="Times New Roman" w:hAnsi="Times New Roman" w:cs="Times New Roman"/>
                <w:i/>
                <w:iCs/>
                <w:sz w:val="18"/>
                <w:szCs w:val="18"/>
                <w:lang w:val="ro-MD"/>
              </w:rPr>
              <w:t xml:space="preserve"> </w:t>
            </w:r>
          </w:p>
          <w:p w14:paraId="051BFFE8" w14:textId="77777777" w:rsidR="001A4DE8" w:rsidRPr="008070DB" w:rsidRDefault="001A4DE8" w:rsidP="003456B0">
            <w:pPr>
              <w:pStyle w:val="NoSpacing"/>
              <w:tabs>
                <w:tab w:val="left" w:pos="328"/>
              </w:tabs>
              <w:jc w:val="both"/>
              <w:rPr>
                <w:rFonts w:ascii="Times New Roman" w:hAnsi="Times New Roman" w:cs="Times New Roman"/>
                <w:b/>
                <w:bCs/>
                <w:sz w:val="18"/>
                <w:szCs w:val="18"/>
                <w:lang w:val="ro-MD"/>
              </w:rPr>
            </w:pPr>
          </w:p>
          <w:p w14:paraId="03F88A62" w14:textId="38328B86" w:rsidR="004B470A" w:rsidRPr="008070DB" w:rsidRDefault="004B470A"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i/>
                <w:iCs/>
                <w:sz w:val="18"/>
                <w:szCs w:val="18"/>
                <w:lang w:val="ro-RO" w:eastAsia="ro-MD"/>
              </w:rPr>
              <w:t xml:space="preserve">Prevedere nouă - </w:t>
            </w:r>
            <w:r w:rsidRPr="008070DB">
              <w:rPr>
                <w:rFonts w:ascii="Times New Roman" w:hAnsi="Times New Roman" w:cs="Times New Roman"/>
                <w:sz w:val="18"/>
                <w:szCs w:val="18"/>
                <w:lang w:val="ro-MD" w:eastAsia="ro-MD"/>
              </w:rPr>
              <w:t xml:space="preserve">Inclusă prin </w:t>
            </w:r>
            <w:r w:rsidRPr="008070DB">
              <w:rPr>
                <w:rFonts w:ascii="Times New Roman" w:hAnsi="Times New Roman" w:cs="Times New Roman"/>
                <w:b/>
                <w:bCs/>
                <w:i/>
                <w:iCs/>
                <w:sz w:val="18"/>
                <w:szCs w:val="18"/>
                <w:lang w:val="ro-RO" w:eastAsia="ro-MD"/>
              </w:rPr>
              <w:t>Proiectul HCE al BNM de modificare a Regulamentului nr.220/2025</w:t>
            </w:r>
          </w:p>
        </w:tc>
        <w:tc>
          <w:tcPr>
            <w:tcW w:w="1554" w:type="dxa"/>
          </w:tcPr>
          <w:p w14:paraId="70E18FF0" w14:textId="4159C0B9" w:rsidR="001A4DE8" w:rsidRPr="00A96E09" w:rsidRDefault="004B470A" w:rsidP="00C14AF6">
            <w:pPr>
              <w:jc w:val="both"/>
              <w:rPr>
                <w:sz w:val="18"/>
                <w:szCs w:val="18"/>
                <w:lang w:val="ro-MD"/>
              </w:rPr>
            </w:pPr>
            <w:r>
              <w:rPr>
                <w:sz w:val="18"/>
                <w:szCs w:val="18"/>
                <w:lang w:val="ro-MD"/>
              </w:rPr>
              <w:t>C</w:t>
            </w:r>
            <w:r w:rsidR="001A4DE8" w:rsidRPr="00A96E09">
              <w:rPr>
                <w:sz w:val="18"/>
                <w:szCs w:val="18"/>
                <w:lang w:val="ro-MD"/>
              </w:rPr>
              <w:t>ompatibil</w:t>
            </w:r>
          </w:p>
        </w:tc>
        <w:tc>
          <w:tcPr>
            <w:tcW w:w="4683" w:type="dxa"/>
            <w:tcBorders>
              <w:top w:val="single" w:sz="4" w:space="0" w:color="auto"/>
              <w:bottom w:val="single" w:sz="4" w:space="0" w:color="auto"/>
            </w:tcBorders>
          </w:tcPr>
          <w:p w14:paraId="19F3C7CD" w14:textId="2B435572" w:rsidR="001A4DE8" w:rsidRPr="00A96E09" w:rsidRDefault="001A4DE8" w:rsidP="00C14AF6">
            <w:pPr>
              <w:jc w:val="both"/>
              <w:rPr>
                <w:sz w:val="18"/>
                <w:szCs w:val="18"/>
                <w:lang w:val="ro-MD"/>
              </w:rPr>
            </w:pPr>
          </w:p>
        </w:tc>
      </w:tr>
      <w:tr w:rsidR="001A4DE8" w:rsidRPr="00E57BBB" w14:paraId="30FAB79A" w14:textId="77777777" w:rsidTr="00C14AF6">
        <w:trPr>
          <w:trHeight w:val="918"/>
        </w:trPr>
        <w:tc>
          <w:tcPr>
            <w:tcW w:w="3866" w:type="dxa"/>
          </w:tcPr>
          <w:p w14:paraId="3E848D40" w14:textId="450C2CA5" w:rsidR="001A4DE8" w:rsidRPr="00A96E09" w:rsidRDefault="001A4DE8" w:rsidP="003456B0">
            <w:pPr>
              <w:pStyle w:val="title-article-norm"/>
              <w:jc w:val="both"/>
              <w:rPr>
                <w:i w:val="0"/>
                <w:sz w:val="18"/>
                <w:szCs w:val="18"/>
                <w:lang w:val="ro-MD"/>
              </w:rPr>
            </w:pPr>
            <w:r w:rsidRPr="00A96E09">
              <w:rPr>
                <w:i w:val="0"/>
                <w:sz w:val="18"/>
                <w:szCs w:val="18"/>
                <w:lang w:val="ro-MD"/>
              </w:rPr>
              <w:t xml:space="preserve">(9) În cazul metodelor prevăzute în secțiunile 3-6, instituțiile tratează tranzacțiile în cazul cărora a fost identificat un risc specific de corelare defavorabilă </w:t>
            </w:r>
            <w:r w:rsidRPr="00A96E09">
              <w:rPr>
                <w:i w:val="0"/>
                <w:sz w:val="18"/>
                <w:szCs w:val="18"/>
                <w:lang w:val="ro-MD"/>
              </w:rPr>
              <w:lastRenderedPageBreak/>
              <w:t>în conformitate cu articolul 291 alineatele (2), (4), (5) și (6).</w:t>
            </w:r>
          </w:p>
        </w:tc>
        <w:tc>
          <w:tcPr>
            <w:tcW w:w="4356" w:type="dxa"/>
          </w:tcPr>
          <w:p w14:paraId="320A99DB" w14:textId="060F8C21" w:rsidR="001A4DE8" w:rsidRPr="008070DB" w:rsidRDefault="004B470A" w:rsidP="003456B0">
            <w:pPr>
              <w:tabs>
                <w:tab w:val="left" w:pos="540"/>
              </w:tabs>
              <w:jc w:val="both"/>
              <w:rPr>
                <w:sz w:val="18"/>
                <w:szCs w:val="18"/>
                <w:lang w:val="en-US" w:eastAsia="ro-MD"/>
              </w:rPr>
            </w:pPr>
            <w:r w:rsidRPr="008070DB">
              <w:rPr>
                <w:b/>
                <w:bCs/>
                <w:sz w:val="18"/>
                <w:szCs w:val="18"/>
                <w:lang w:val="en-US" w:eastAsia="ro-MD"/>
              </w:rPr>
              <w:lastRenderedPageBreak/>
              <w:t>18</w:t>
            </w:r>
            <w:r w:rsidRPr="008070DB">
              <w:rPr>
                <w:b/>
                <w:bCs/>
                <w:sz w:val="18"/>
                <w:szCs w:val="18"/>
                <w:vertAlign w:val="superscript"/>
                <w:lang w:val="en-US" w:eastAsia="ro-MD"/>
              </w:rPr>
              <w:t>1</w:t>
            </w:r>
            <w:r w:rsidRPr="008070DB">
              <w:rPr>
                <w:b/>
                <w:bCs/>
                <w:sz w:val="18"/>
                <w:szCs w:val="18"/>
                <w:lang w:val="en-US" w:eastAsia="ro-MD"/>
              </w:rPr>
              <w:t xml:space="preserve">. </w:t>
            </w:r>
            <w:r w:rsidRPr="008070DB">
              <w:rPr>
                <w:sz w:val="18"/>
                <w:szCs w:val="18"/>
                <w:lang w:val="en-US" w:eastAsia="ro-MD"/>
              </w:rPr>
              <w:t xml:space="preserve">În cazul metodelor prevăzute în capitolele </w:t>
            </w:r>
            <w:r w:rsidR="00D43539">
              <w:rPr>
                <w:sz w:val="18"/>
                <w:szCs w:val="18"/>
                <w:lang w:val="en-US" w:eastAsia="ro-MD"/>
              </w:rPr>
              <w:t>III</w:t>
            </w:r>
            <w:r w:rsidRPr="008070DB">
              <w:rPr>
                <w:sz w:val="18"/>
                <w:szCs w:val="18"/>
                <w:lang w:val="en-US" w:eastAsia="ro-MD"/>
              </w:rPr>
              <w:t>-</w:t>
            </w:r>
            <w:r w:rsidR="00D43539">
              <w:rPr>
                <w:sz w:val="18"/>
                <w:szCs w:val="18"/>
                <w:lang w:val="en-US" w:eastAsia="ro-MD"/>
              </w:rPr>
              <w:t>V</w:t>
            </w:r>
            <w:r w:rsidRPr="008070DB">
              <w:rPr>
                <w:sz w:val="18"/>
                <w:szCs w:val="18"/>
                <w:lang w:val="en-US" w:eastAsia="ro-MD"/>
              </w:rPr>
              <w:t xml:space="preserve"> și </w:t>
            </w:r>
            <w:r w:rsidR="00D43539">
              <w:rPr>
                <w:sz w:val="18"/>
                <w:szCs w:val="18"/>
                <w:lang w:val="en-US" w:eastAsia="ro-MD"/>
              </w:rPr>
              <w:t>IX</w:t>
            </w:r>
            <w:r w:rsidRPr="008070DB">
              <w:rPr>
                <w:sz w:val="18"/>
                <w:szCs w:val="18"/>
                <w:lang w:val="en-US" w:eastAsia="ro-MD"/>
              </w:rPr>
              <w:t>, băncile tratează tranzacțiile în cazul cărora a fost identificat un risc specific de corelare defavorabilă în conformitate cu punctele 2</w:t>
            </w:r>
            <w:r w:rsidR="00D43539">
              <w:rPr>
                <w:sz w:val="18"/>
                <w:szCs w:val="18"/>
                <w:lang w:val="en-US" w:eastAsia="ro-MD"/>
              </w:rPr>
              <w:t>22</w:t>
            </w:r>
            <w:r w:rsidRPr="008070DB">
              <w:rPr>
                <w:sz w:val="18"/>
                <w:szCs w:val="18"/>
                <w:lang w:val="en-US" w:eastAsia="ro-MD"/>
              </w:rPr>
              <w:t>, 2</w:t>
            </w:r>
            <w:r w:rsidR="00D43539">
              <w:rPr>
                <w:sz w:val="18"/>
                <w:szCs w:val="18"/>
                <w:lang w:val="en-US" w:eastAsia="ro-MD"/>
              </w:rPr>
              <w:t>24</w:t>
            </w:r>
            <w:r w:rsidRPr="008070DB">
              <w:rPr>
                <w:sz w:val="18"/>
                <w:szCs w:val="18"/>
                <w:lang w:val="en-US" w:eastAsia="ro-MD"/>
              </w:rPr>
              <w:t>-2</w:t>
            </w:r>
            <w:r w:rsidR="00D43539">
              <w:rPr>
                <w:sz w:val="18"/>
                <w:szCs w:val="18"/>
                <w:lang w:val="en-US" w:eastAsia="ro-MD"/>
              </w:rPr>
              <w:t>26</w:t>
            </w:r>
            <w:r w:rsidRPr="008070DB">
              <w:rPr>
                <w:sz w:val="18"/>
                <w:szCs w:val="18"/>
                <w:lang w:val="en-US" w:eastAsia="ro-MD"/>
              </w:rPr>
              <w:t>.</w:t>
            </w:r>
          </w:p>
          <w:p w14:paraId="031DA01B" w14:textId="77777777" w:rsidR="006D70BA" w:rsidRPr="008070DB" w:rsidRDefault="006D70BA" w:rsidP="003456B0">
            <w:pPr>
              <w:tabs>
                <w:tab w:val="left" w:pos="540"/>
              </w:tabs>
              <w:jc w:val="both"/>
              <w:rPr>
                <w:sz w:val="18"/>
                <w:szCs w:val="18"/>
                <w:lang w:val="en-US" w:eastAsia="ro-MD"/>
              </w:rPr>
            </w:pPr>
          </w:p>
          <w:p w14:paraId="7EEBE155" w14:textId="77777777" w:rsidR="006D70BA" w:rsidRPr="008070DB" w:rsidRDefault="006D70BA" w:rsidP="003456B0">
            <w:pPr>
              <w:tabs>
                <w:tab w:val="left" w:pos="540"/>
              </w:tabs>
              <w:jc w:val="both"/>
              <w:rPr>
                <w:sz w:val="18"/>
                <w:szCs w:val="18"/>
                <w:lang w:val="en-US" w:eastAsia="ro-MD"/>
              </w:rPr>
            </w:pPr>
          </w:p>
          <w:p w14:paraId="7E2BAC7C" w14:textId="7DDF2F6E" w:rsidR="006D70BA" w:rsidRPr="008070DB" w:rsidRDefault="006D70BA" w:rsidP="003456B0">
            <w:pPr>
              <w:tabs>
                <w:tab w:val="left" w:pos="540"/>
              </w:tabs>
              <w:jc w:val="both"/>
              <w:rPr>
                <w:b/>
                <w:bCs/>
                <w:sz w:val="18"/>
                <w:szCs w:val="18"/>
                <w:lang w:val="ro-MD"/>
              </w:rPr>
            </w:pPr>
            <w:r w:rsidRPr="008070DB">
              <w:rPr>
                <w:b/>
                <w:bCs/>
                <w:i/>
                <w:iCs/>
                <w:sz w:val="18"/>
                <w:szCs w:val="18"/>
                <w:lang w:val="ro-RO" w:eastAsia="ro-MD"/>
              </w:rPr>
              <w:t xml:space="preserve">Prevedere nouă - </w:t>
            </w:r>
            <w:r w:rsidRPr="008070DB">
              <w:rPr>
                <w:sz w:val="18"/>
                <w:szCs w:val="18"/>
                <w:lang w:val="ro-MD" w:eastAsia="ro-MD"/>
              </w:rPr>
              <w:t xml:space="preserve">Inclusă prin </w:t>
            </w:r>
            <w:r w:rsidRPr="008070DB">
              <w:rPr>
                <w:b/>
                <w:bCs/>
                <w:i/>
                <w:iCs/>
                <w:sz w:val="18"/>
                <w:szCs w:val="18"/>
                <w:lang w:val="ro-RO" w:eastAsia="ro-MD"/>
              </w:rPr>
              <w:t>Proiectul HCE al BNM de modificare a Regulamentului nr.220/2025</w:t>
            </w:r>
          </w:p>
        </w:tc>
        <w:tc>
          <w:tcPr>
            <w:tcW w:w="1554" w:type="dxa"/>
          </w:tcPr>
          <w:p w14:paraId="6C8501E3" w14:textId="4BDDD122" w:rsidR="001A4DE8" w:rsidRPr="00A96E09" w:rsidRDefault="004B470A" w:rsidP="00C14AF6">
            <w:pPr>
              <w:jc w:val="both"/>
              <w:rPr>
                <w:sz w:val="18"/>
                <w:szCs w:val="18"/>
                <w:lang w:val="ro-MD"/>
              </w:rPr>
            </w:pPr>
            <w:r>
              <w:rPr>
                <w:sz w:val="18"/>
                <w:szCs w:val="18"/>
                <w:lang w:val="ro-MD"/>
              </w:rPr>
              <w:lastRenderedPageBreak/>
              <w:t>C</w:t>
            </w:r>
            <w:r w:rsidR="001A4DE8" w:rsidRPr="00A96E09">
              <w:rPr>
                <w:sz w:val="18"/>
                <w:szCs w:val="18"/>
                <w:lang w:val="ro-MD"/>
              </w:rPr>
              <w:t>ompatibil</w:t>
            </w:r>
          </w:p>
        </w:tc>
        <w:tc>
          <w:tcPr>
            <w:tcW w:w="4683" w:type="dxa"/>
            <w:tcBorders>
              <w:top w:val="single" w:sz="4" w:space="0" w:color="auto"/>
              <w:bottom w:val="single" w:sz="4" w:space="0" w:color="auto"/>
            </w:tcBorders>
          </w:tcPr>
          <w:p w14:paraId="186E4C5B" w14:textId="351ADB4E" w:rsidR="001A4DE8" w:rsidRPr="00A96E09" w:rsidRDefault="001A4DE8" w:rsidP="00C14AF6">
            <w:pPr>
              <w:rPr>
                <w:sz w:val="18"/>
                <w:szCs w:val="18"/>
                <w:lang w:val="ro-MD"/>
              </w:rPr>
            </w:pPr>
          </w:p>
        </w:tc>
      </w:tr>
      <w:tr w:rsidR="00F3727D" w:rsidRPr="00EB7E01" w14:paraId="3E535D40" w14:textId="77777777" w:rsidTr="00C14AF6">
        <w:trPr>
          <w:trHeight w:val="918"/>
        </w:trPr>
        <w:tc>
          <w:tcPr>
            <w:tcW w:w="3866" w:type="dxa"/>
          </w:tcPr>
          <w:p w14:paraId="7C0F871A" w14:textId="77777777" w:rsidR="00F3727D" w:rsidRPr="00A96E09" w:rsidRDefault="00F3727D" w:rsidP="003456B0">
            <w:pPr>
              <w:pStyle w:val="title-article-norm"/>
              <w:jc w:val="both"/>
              <w:rPr>
                <w:i w:val="0"/>
                <w:sz w:val="18"/>
                <w:szCs w:val="18"/>
                <w:lang w:val="ro-MD"/>
              </w:rPr>
            </w:pPr>
          </w:p>
        </w:tc>
        <w:tc>
          <w:tcPr>
            <w:tcW w:w="4356" w:type="dxa"/>
          </w:tcPr>
          <w:p w14:paraId="7ABEEC73" w14:textId="47588CB4" w:rsidR="00F3727D" w:rsidRPr="008070DB" w:rsidRDefault="00F3727D" w:rsidP="003456B0">
            <w:pPr>
              <w:tabs>
                <w:tab w:val="left" w:pos="540"/>
              </w:tabs>
              <w:jc w:val="both"/>
              <w:rPr>
                <w:b/>
                <w:bCs/>
                <w:sz w:val="18"/>
                <w:szCs w:val="18"/>
                <w:lang w:val="ro-MD"/>
              </w:rPr>
            </w:pPr>
            <w:r w:rsidRPr="008070DB">
              <w:rPr>
                <w:b/>
                <w:bCs/>
                <w:sz w:val="18"/>
                <w:szCs w:val="18"/>
                <w:lang w:val="ro-MD"/>
              </w:rPr>
              <w:t xml:space="preserve">19. </w:t>
            </w:r>
            <w:r w:rsidRPr="008070DB">
              <w:rPr>
                <w:sz w:val="18"/>
                <w:szCs w:val="18"/>
                <w:lang w:val="ro-MD"/>
              </w:rPr>
              <w:t>Băncile raportează expunerea la riscul de credit al contrapărţii în conformitate cu cerinţele stabilite prin Instrucţiunea cu privire la prezentarea de către bănci a rapoartelor COREP în scopuri de supraveghere, aprobată prin Hotărârea Comitetului executiv al Băncii Naționale a Moldovei nr.117/2018.</w:t>
            </w:r>
          </w:p>
        </w:tc>
        <w:tc>
          <w:tcPr>
            <w:tcW w:w="1554" w:type="dxa"/>
          </w:tcPr>
          <w:p w14:paraId="0981E94C" w14:textId="77777777" w:rsidR="00F3727D" w:rsidRPr="00A96E09" w:rsidRDefault="00F3727D" w:rsidP="00C14AF6">
            <w:pPr>
              <w:jc w:val="both"/>
              <w:rPr>
                <w:sz w:val="18"/>
                <w:szCs w:val="18"/>
                <w:lang w:val="ro-MD"/>
              </w:rPr>
            </w:pPr>
          </w:p>
        </w:tc>
        <w:tc>
          <w:tcPr>
            <w:tcW w:w="4683" w:type="dxa"/>
            <w:tcBorders>
              <w:top w:val="single" w:sz="4" w:space="0" w:color="auto"/>
              <w:bottom w:val="single" w:sz="4" w:space="0" w:color="auto"/>
            </w:tcBorders>
          </w:tcPr>
          <w:p w14:paraId="57DFC347" w14:textId="2FC12418" w:rsidR="00F3727D" w:rsidRPr="00A96E09" w:rsidRDefault="00F3727D" w:rsidP="00C14AF6">
            <w:pPr>
              <w:rPr>
                <w:sz w:val="18"/>
                <w:szCs w:val="18"/>
                <w:lang w:val="ro-MD"/>
              </w:rPr>
            </w:pPr>
            <w:r w:rsidRPr="00A96E09">
              <w:rPr>
                <w:sz w:val="18"/>
                <w:szCs w:val="18"/>
                <w:lang w:val="en-US"/>
              </w:rPr>
              <w:t xml:space="preserve">Pentru a asigura o transpunere eficientă și adecvată </w:t>
            </w:r>
            <w:proofErr w:type="gramStart"/>
            <w:r w:rsidRPr="00A96E09">
              <w:rPr>
                <w:sz w:val="18"/>
                <w:szCs w:val="18"/>
                <w:lang w:val="en-US"/>
              </w:rPr>
              <w:t>a</w:t>
            </w:r>
            <w:proofErr w:type="gramEnd"/>
            <w:r w:rsidRPr="00A96E09">
              <w:rPr>
                <w:sz w:val="18"/>
                <w:szCs w:val="18"/>
                <w:lang w:val="en-US"/>
              </w:rPr>
              <w:t xml:space="preserve"> actului european în contextul specific național, s-a utilizat o creație națională care reflectă particularitățile și cadrul legislativ intern. Aceasta permite adaptarea cerințelor UE la realitățile și necesitățile economice, juridice și instituționale ale Republicii Moldova, asigurând astfel o implementare coerentă și funcțională a normelor transpuse.</w:t>
            </w:r>
          </w:p>
        </w:tc>
      </w:tr>
      <w:tr w:rsidR="001A4DE8" w:rsidRPr="00A96E09" w14:paraId="274505E3" w14:textId="77777777" w:rsidTr="00C14AF6">
        <w:trPr>
          <w:trHeight w:val="918"/>
        </w:trPr>
        <w:tc>
          <w:tcPr>
            <w:tcW w:w="3866" w:type="dxa"/>
          </w:tcPr>
          <w:p w14:paraId="4E8E4776" w14:textId="37364775" w:rsidR="001A4DE8" w:rsidRPr="00A96E09" w:rsidRDefault="001A4DE8" w:rsidP="003456B0">
            <w:pPr>
              <w:pStyle w:val="title-article-norm"/>
              <w:tabs>
                <w:tab w:val="left" w:pos="188"/>
              </w:tabs>
              <w:jc w:val="both"/>
              <w:rPr>
                <w:b/>
                <w:bCs/>
                <w:i w:val="0"/>
                <w:sz w:val="18"/>
                <w:szCs w:val="18"/>
                <w:lang w:val="ro-MD"/>
              </w:rPr>
            </w:pPr>
            <w:r w:rsidRPr="00A96E09">
              <w:rPr>
                <w:iCs w:val="0"/>
                <w:sz w:val="18"/>
                <w:szCs w:val="18"/>
                <w:lang w:val="ro-MD"/>
              </w:rPr>
              <w:t xml:space="preserve">Articolul 273a </w:t>
            </w:r>
            <w:r w:rsidRPr="00A96E09">
              <w:rPr>
                <w:b/>
                <w:bCs/>
                <w:i w:val="0"/>
                <w:sz w:val="18"/>
                <w:szCs w:val="18"/>
                <w:lang w:val="ro-MD"/>
              </w:rPr>
              <w:t>Condiţii pentru utilizarea metodelor simplificate de calculare a valorii expunerii</w:t>
            </w:r>
          </w:p>
          <w:p w14:paraId="43585D39"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(1) O instituţie poate calcula valoarea expunerii pentru poziţiile sale pe instrumente financiare derivate în conformitate cu metoda prevăzută în secţiunea 4, cu condiţia ca volumul operaţiunilor sale bilanţiere și extrabilanţiere cu instrumente financiare derivate să fie mai mic sau egal cu fiecare dintre următoarele două praguri, pe baza unei evaluări realizate lunar, utilizând datele din ultima zi a lunii:</w:t>
            </w:r>
          </w:p>
          <w:p w14:paraId="2FFD2801"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(a) 10 % din activele totale ale instituţiei;</w:t>
            </w:r>
          </w:p>
          <w:p w14:paraId="1DF46F1B"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(b) 300 de milioane EUR.</w:t>
            </w:r>
          </w:p>
          <w:p w14:paraId="45570FE3"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 xml:space="preserve">(2) O instituţie poate calcula valoarea expunerii pentru poziţiile sale pe instrumente financiare derivate în conformitate cu metoda prevăzută în secţiunea 5, cu condiţia ca volumul operaţiunilor sale bilanţiere și extrabilanţiere cu instrumente financiare derivate să fie mai mic sau egal cu fiecare dintre următoarele două praguri, pe baza </w:t>
            </w:r>
            <w:r w:rsidRPr="00A96E09">
              <w:rPr>
                <w:i w:val="0"/>
                <w:sz w:val="18"/>
                <w:szCs w:val="18"/>
                <w:lang w:val="ro-MD"/>
              </w:rPr>
              <w:lastRenderedPageBreak/>
              <w:t>unei evaluări realizate lunar, utilizând datele din ultima zi a lunii:</w:t>
            </w:r>
          </w:p>
          <w:p w14:paraId="38095055"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(a) 5 % din activele totale ale instituţiei;</w:t>
            </w:r>
          </w:p>
          <w:p w14:paraId="585B90B0"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(b) 100 de milioane EUR.</w:t>
            </w:r>
          </w:p>
          <w:p w14:paraId="4BCA9889"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(3) În sensul alineatelor (1) și (2), instituţiile calculează volumul operaţiunilor lor bilanţiere și extrabilanţiere cu instrumente financiare derivate pe baza datelor din ultima zi a fiecărei luni, în conformitate cu următoarele cerinţe:</w:t>
            </w:r>
          </w:p>
          <w:p w14:paraId="364AAF7D"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(a) poziţiile pe instrumente financiare derivate se evaluează la valorile lor de piaţă de la data respectivă; în cazul în care valoarea de piaţă a unei poziţii nu este disponibilă la o anumită dată, instituţiile utilizează valoarea justă pentru poziţia respectivă de la data vizată; în cazul în care valoarea de piaţă și valoarea justă a unei poziţii nu sunt disponibile la o anumită dată, instituţiile utilizează cea mai recentă valoare de piaţă sau valoare justă pentru poziţia respectivă;</w:t>
            </w:r>
          </w:p>
          <w:p w14:paraId="6A3B2194" w14:textId="490A4F1F" w:rsidR="001A4DE8" w:rsidRPr="00A96E09" w:rsidRDefault="001A4DE8" w:rsidP="003456B0">
            <w:pPr>
              <w:pStyle w:val="title-article-norm"/>
              <w:tabs>
                <w:tab w:val="left" w:pos="188"/>
              </w:tabs>
              <w:jc w:val="both"/>
              <w:rPr>
                <w:i w:val="0"/>
                <w:sz w:val="18"/>
                <w:szCs w:val="18"/>
              </w:rPr>
            </w:pPr>
            <w:r w:rsidRPr="00A96E09">
              <w:rPr>
                <w:i w:val="0"/>
                <w:sz w:val="18"/>
                <w:szCs w:val="18"/>
                <w:lang w:val="ro-MD"/>
              </w:rPr>
              <w:t xml:space="preserve">(b) </w:t>
            </w:r>
            <w:r w:rsidR="0094547F" w:rsidRPr="00A96E09">
              <w:rPr>
                <w:i w:val="0"/>
                <w:sz w:val="18"/>
                <w:szCs w:val="18"/>
              </w:rPr>
              <w:t>valoarea absolută a poziţiei lungi agregate se adună cu valoarea absolută a poziţiei scurte agregate;</w:t>
            </w:r>
          </w:p>
          <w:p w14:paraId="79841C6E"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(c) sunt incluse toate poziţiile pe instrumente financiare derivate, cu excepţia instrumentelor financiare derivate de credit care sunt recunoscute ca acoperiri interne împotriva expunerilor la riscul de credit din afara portofoliului de tranzacţionare.</w:t>
            </w:r>
          </w:p>
          <w:p w14:paraId="31E6AEC6" w14:textId="5474D684" w:rsidR="0094547F" w:rsidRPr="00A96E09" w:rsidRDefault="0094547F" w:rsidP="003456B0">
            <w:pPr>
              <w:pStyle w:val="title-article-norm"/>
              <w:tabs>
                <w:tab w:val="left" w:pos="188"/>
              </w:tabs>
              <w:jc w:val="both"/>
              <w:rPr>
                <w:i w:val="0"/>
                <w:sz w:val="18"/>
                <w:szCs w:val="18"/>
              </w:rPr>
            </w:pPr>
            <w:r w:rsidRPr="00A96E09">
              <w:rPr>
                <w:i w:val="0"/>
                <w:sz w:val="18"/>
                <w:szCs w:val="18"/>
              </w:rPr>
              <w:t xml:space="preserve">În sensul primului paragraf, poziţiile lungi și scurte au același înţeles ca cel stabilit la articolul 94 alineatul (3). În sensul primului paragraf, valoarea poziţiei lungi (scurte) agregate este egală cu suma </w:t>
            </w:r>
            <w:r w:rsidRPr="00A96E09">
              <w:rPr>
                <w:i w:val="0"/>
                <w:sz w:val="18"/>
                <w:szCs w:val="18"/>
              </w:rPr>
              <w:lastRenderedPageBreak/>
              <w:t>valorilor poziţiilor lungi (scurte) individuale incluse în calcul în conformitate cu litera (c).</w:t>
            </w:r>
          </w:p>
          <w:p w14:paraId="5F3201C3" w14:textId="529E33E8"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(4) Prin derogare de la alineatul (1) sau (2), după caz, dacă activitatea cu instrumente financiare derivate pe bază consolidată nu depășește pragurile stabilite la alineatul (1) sau (2), după caz, o instituţie care este inclusă în consolidare și care ar trebui să aplice metoda prevăzută în secţiunea 3 sau 4, deoarece depășește pragurile respective pe bază individuală, are ca alternativă, sub rezerva aprobării din partea autorităţilor competente, opţiunea de a aplica metoda care s-ar aplica pe bază consolidată.</w:t>
            </w:r>
          </w:p>
        </w:tc>
        <w:tc>
          <w:tcPr>
            <w:tcW w:w="4356" w:type="dxa"/>
          </w:tcPr>
          <w:p w14:paraId="17A1F596" w14:textId="77777777" w:rsidR="001A4DE8" w:rsidRPr="008070DB" w:rsidRDefault="001A4DE8" w:rsidP="003456B0">
            <w:pPr>
              <w:pStyle w:val="CM4"/>
              <w:spacing w:before="60" w:after="60"/>
              <w:jc w:val="both"/>
              <w:rPr>
                <w:rFonts w:ascii="Times New Roman" w:hAnsi="Times New Roman"/>
                <w:color w:val="000000"/>
                <w:sz w:val="18"/>
                <w:szCs w:val="18"/>
              </w:rPr>
            </w:pPr>
            <w:r w:rsidRPr="008070DB">
              <w:rPr>
                <w:rFonts w:ascii="Times New Roman" w:hAnsi="Times New Roman"/>
                <w:i/>
                <w:iCs/>
                <w:color w:val="000000"/>
                <w:sz w:val="18"/>
                <w:szCs w:val="18"/>
              </w:rPr>
              <w:lastRenderedPageBreak/>
              <w:t xml:space="preserve">Secțiunea a 3-a </w:t>
            </w:r>
          </w:p>
          <w:p w14:paraId="3B5728C0" w14:textId="77777777" w:rsidR="001A4DE8" w:rsidRPr="008070DB" w:rsidRDefault="001A4DE8" w:rsidP="003456B0">
            <w:pPr>
              <w:ind w:firstLine="567"/>
              <w:jc w:val="both"/>
              <w:rPr>
                <w:b/>
                <w:bCs/>
                <w:sz w:val="18"/>
                <w:szCs w:val="18"/>
                <w:lang w:val="ro-MD"/>
              </w:rPr>
            </w:pPr>
            <w:r w:rsidRPr="008070DB">
              <w:rPr>
                <w:b/>
                <w:bCs/>
                <w:sz w:val="18"/>
                <w:szCs w:val="18"/>
                <w:lang w:val="ro-MD"/>
              </w:rPr>
              <w:t>Condiţii pentru utilizarea metodelor simplificate de calculare a valorii expunerii</w:t>
            </w:r>
          </w:p>
          <w:p w14:paraId="0A0D8F89" w14:textId="63E97678" w:rsidR="00493B24" w:rsidRPr="008070DB" w:rsidRDefault="00493B24" w:rsidP="003456B0">
            <w:pPr>
              <w:tabs>
                <w:tab w:val="left" w:pos="414"/>
              </w:tabs>
              <w:jc w:val="both"/>
              <w:rPr>
                <w:sz w:val="18"/>
                <w:szCs w:val="18"/>
                <w:lang w:val="ro-MD"/>
              </w:rPr>
            </w:pPr>
            <w:r w:rsidRPr="008070DB">
              <w:rPr>
                <w:b/>
                <w:bCs/>
                <w:sz w:val="18"/>
                <w:szCs w:val="18"/>
                <w:lang w:val="ro-MD"/>
              </w:rPr>
              <w:t>20.</w:t>
            </w:r>
            <w:r w:rsidRPr="008070DB">
              <w:rPr>
                <w:b/>
                <w:bCs/>
                <w:sz w:val="18"/>
                <w:szCs w:val="18"/>
                <w:lang w:val="ro-MD"/>
              </w:rPr>
              <w:tab/>
            </w:r>
            <w:r w:rsidR="00657DA7" w:rsidRPr="008070DB">
              <w:rPr>
                <w:sz w:val="18"/>
                <w:szCs w:val="18"/>
                <w:lang w:val="ro-MD"/>
              </w:rPr>
              <w:t>Banca</w:t>
            </w:r>
            <w:r w:rsidRPr="008070DB">
              <w:rPr>
                <w:sz w:val="18"/>
                <w:szCs w:val="18"/>
                <w:lang w:val="ro-MD"/>
              </w:rPr>
              <w:t xml:space="preserve"> poate calcula valoarea expunerii pentru poziţiile sale pe instrumente financiare derivate în conformitate cu metoda prevăzută în capitolul IV, cu condiţia ca volumul operaţiunilor sale bilanţiere și extrabilanţiere cu instrumente financiare derivate să fie mai mic sau egal cu fiecare dintre următoarele două praguri, pe baza unei evaluări realizate lunar, utilizând datele din ultima zi a lunii: </w:t>
            </w:r>
          </w:p>
          <w:p w14:paraId="4548433A" w14:textId="77777777" w:rsidR="00493B24" w:rsidRPr="008070DB" w:rsidRDefault="00493B24" w:rsidP="003456B0">
            <w:pPr>
              <w:tabs>
                <w:tab w:val="left" w:pos="414"/>
              </w:tabs>
              <w:jc w:val="both"/>
              <w:rPr>
                <w:sz w:val="18"/>
                <w:szCs w:val="18"/>
                <w:lang w:val="ro-MD"/>
              </w:rPr>
            </w:pPr>
            <w:r w:rsidRPr="008070DB">
              <w:rPr>
                <w:sz w:val="18"/>
                <w:szCs w:val="18"/>
                <w:lang w:val="ro-MD"/>
              </w:rPr>
              <w:t>20.1.</w:t>
            </w:r>
            <w:r w:rsidRPr="008070DB">
              <w:rPr>
                <w:sz w:val="18"/>
                <w:szCs w:val="18"/>
                <w:lang w:val="ro-MD"/>
              </w:rPr>
              <w:tab/>
              <w:t xml:space="preserve">10 % din activele totale ale băncii; </w:t>
            </w:r>
          </w:p>
          <w:p w14:paraId="0047D45A" w14:textId="0C6878ED" w:rsidR="00493B24" w:rsidRPr="008070DB" w:rsidRDefault="00493B24" w:rsidP="003456B0">
            <w:pPr>
              <w:tabs>
                <w:tab w:val="left" w:pos="414"/>
              </w:tabs>
              <w:jc w:val="both"/>
              <w:rPr>
                <w:sz w:val="18"/>
                <w:szCs w:val="18"/>
                <w:lang w:val="ro-MD"/>
              </w:rPr>
            </w:pPr>
            <w:r w:rsidRPr="008070DB">
              <w:rPr>
                <w:sz w:val="18"/>
                <w:szCs w:val="18"/>
                <w:lang w:val="ro-MD"/>
              </w:rPr>
              <w:t>20.2.</w:t>
            </w:r>
            <w:r w:rsidRPr="008070DB">
              <w:rPr>
                <w:sz w:val="18"/>
                <w:szCs w:val="18"/>
                <w:lang w:val="ro-MD"/>
              </w:rPr>
              <w:tab/>
            </w:r>
            <w:r w:rsidR="002737F5" w:rsidRPr="008070DB">
              <w:rPr>
                <w:sz w:val="18"/>
                <w:szCs w:val="18"/>
                <w:lang w:val="ro-MD"/>
              </w:rPr>
              <w:t xml:space="preserve">echivalentul în lei moldovenești </w:t>
            </w:r>
            <w:r w:rsidRPr="008070DB">
              <w:rPr>
                <w:sz w:val="18"/>
                <w:szCs w:val="18"/>
                <w:lang w:val="ro-MD"/>
              </w:rPr>
              <w:t xml:space="preserve">300 de milioane EUR. </w:t>
            </w:r>
          </w:p>
          <w:p w14:paraId="5EAA30B9" w14:textId="775142D0" w:rsidR="00493B24" w:rsidRPr="008070DB" w:rsidRDefault="00493B24" w:rsidP="003456B0">
            <w:pPr>
              <w:tabs>
                <w:tab w:val="left" w:pos="272"/>
              </w:tabs>
              <w:jc w:val="both"/>
              <w:rPr>
                <w:sz w:val="18"/>
                <w:szCs w:val="18"/>
                <w:lang w:val="ro-MD"/>
              </w:rPr>
            </w:pPr>
            <w:r w:rsidRPr="008070DB">
              <w:rPr>
                <w:b/>
                <w:bCs/>
                <w:sz w:val="18"/>
                <w:szCs w:val="18"/>
                <w:lang w:val="ro-MD"/>
              </w:rPr>
              <w:t>21.</w:t>
            </w:r>
            <w:r w:rsidRPr="008070DB">
              <w:rPr>
                <w:sz w:val="18"/>
                <w:szCs w:val="18"/>
                <w:lang w:val="ro-MD"/>
              </w:rPr>
              <w:tab/>
            </w:r>
            <w:r w:rsidR="002737F5" w:rsidRPr="008070DB">
              <w:rPr>
                <w:sz w:val="18"/>
                <w:szCs w:val="18"/>
                <w:lang w:val="ro-MD"/>
              </w:rPr>
              <w:t>Banca</w:t>
            </w:r>
            <w:r w:rsidRPr="008070DB">
              <w:rPr>
                <w:sz w:val="18"/>
                <w:szCs w:val="18"/>
                <w:lang w:val="ro-MD"/>
              </w:rPr>
              <w:t xml:space="preserve"> poate calcula valoarea expunerii pentru poziţiile sale pe instrumente financiare derivate în conformitate cu metoda prevăzută în capitolul V, cu condiţia ca volumul operaţiunilor sale bilanţiere și extrabilanţiere cu instrumente financiare derivate să fie mai mic sau egal cu fiecare dintre următoarele două</w:t>
            </w:r>
            <w:r w:rsidRPr="008070DB">
              <w:rPr>
                <w:b/>
                <w:bCs/>
                <w:sz w:val="18"/>
                <w:szCs w:val="18"/>
                <w:lang w:val="ro-MD"/>
              </w:rPr>
              <w:t xml:space="preserve"> </w:t>
            </w:r>
            <w:r w:rsidRPr="008070DB">
              <w:rPr>
                <w:sz w:val="18"/>
                <w:szCs w:val="18"/>
                <w:lang w:val="ro-MD"/>
              </w:rPr>
              <w:t xml:space="preserve">praguri, pe baza unei evaluări realizate lunar, utilizând datele din ultima zi a lunii: </w:t>
            </w:r>
          </w:p>
          <w:p w14:paraId="421C139B" w14:textId="77777777" w:rsidR="00493B24" w:rsidRPr="008070DB" w:rsidRDefault="00493B24" w:rsidP="003456B0">
            <w:pPr>
              <w:tabs>
                <w:tab w:val="left" w:pos="414"/>
              </w:tabs>
              <w:jc w:val="both"/>
              <w:rPr>
                <w:sz w:val="18"/>
                <w:szCs w:val="18"/>
                <w:lang w:val="ro-MD"/>
              </w:rPr>
            </w:pPr>
            <w:r w:rsidRPr="008070DB">
              <w:rPr>
                <w:sz w:val="18"/>
                <w:szCs w:val="18"/>
                <w:lang w:val="ro-MD"/>
              </w:rPr>
              <w:t>21.1.</w:t>
            </w:r>
            <w:r w:rsidRPr="008070DB">
              <w:rPr>
                <w:sz w:val="18"/>
                <w:szCs w:val="18"/>
                <w:lang w:val="ro-MD"/>
              </w:rPr>
              <w:tab/>
              <w:t xml:space="preserve">5 % din activele totale ale băncii; </w:t>
            </w:r>
          </w:p>
          <w:p w14:paraId="4A2906D6" w14:textId="4A0B5BAD" w:rsidR="00493B24" w:rsidRPr="008070DB" w:rsidRDefault="00493B24" w:rsidP="003456B0">
            <w:pPr>
              <w:tabs>
                <w:tab w:val="left" w:pos="414"/>
              </w:tabs>
              <w:jc w:val="both"/>
              <w:rPr>
                <w:sz w:val="18"/>
                <w:szCs w:val="18"/>
                <w:lang w:val="ro-MD"/>
              </w:rPr>
            </w:pPr>
            <w:r w:rsidRPr="008070DB">
              <w:rPr>
                <w:sz w:val="18"/>
                <w:szCs w:val="18"/>
                <w:lang w:val="ro-MD"/>
              </w:rPr>
              <w:t>21.2.</w:t>
            </w:r>
            <w:r w:rsidRPr="008070DB">
              <w:rPr>
                <w:sz w:val="18"/>
                <w:szCs w:val="18"/>
                <w:lang w:val="ro-MD"/>
              </w:rPr>
              <w:tab/>
            </w:r>
            <w:r w:rsidR="002737F5" w:rsidRPr="008070DB">
              <w:rPr>
                <w:sz w:val="18"/>
                <w:szCs w:val="18"/>
                <w:lang w:val="ro-MD"/>
              </w:rPr>
              <w:t xml:space="preserve">echivalentul în lei moldovenști a </w:t>
            </w:r>
            <w:r w:rsidRPr="008070DB">
              <w:rPr>
                <w:sz w:val="18"/>
                <w:szCs w:val="18"/>
                <w:lang w:val="ro-MD"/>
              </w:rPr>
              <w:t xml:space="preserve">100 de milioane EUR. </w:t>
            </w:r>
          </w:p>
          <w:p w14:paraId="22F81E4E" w14:textId="77777777" w:rsidR="00493B24" w:rsidRPr="008070DB" w:rsidRDefault="00493B24" w:rsidP="003456B0">
            <w:pPr>
              <w:tabs>
                <w:tab w:val="left" w:pos="272"/>
              </w:tabs>
              <w:jc w:val="both"/>
              <w:rPr>
                <w:b/>
                <w:bCs/>
                <w:sz w:val="18"/>
                <w:szCs w:val="18"/>
                <w:lang w:val="ro-MD"/>
              </w:rPr>
            </w:pPr>
            <w:r w:rsidRPr="008070DB">
              <w:rPr>
                <w:b/>
                <w:bCs/>
                <w:sz w:val="18"/>
                <w:szCs w:val="18"/>
                <w:lang w:val="ro-MD"/>
              </w:rPr>
              <w:t>22.</w:t>
            </w:r>
            <w:r w:rsidRPr="008070DB">
              <w:rPr>
                <w:b/>
                <w:bCs/>
                <w:sz w:val="18"/>
                <w:szCs w:val="18"/>
                <w:lang w:val="ro-MD"/>
              </w:rPr>
              <w:tab/>
            </w:r>
            <w:r w:rsidRPr="008070DB">
              <w:rPr>
                <w:sz w:val="18"/>
                <w:szCs w:val="18"/>
                <w:lang w:val="ro-MD"/>
              </w:rPr>
              <w:t xml:space="preserve">În sensul punctelor 20 și 21, băncile calculează volumul operaţiunilor lor bilanţiere și extrabilanţiere cu </w:t>
            </w:r>
            <w:r w:rsidRPr="008070DB">
              <w:rPr>
                <w:sz w:val="18"/>
                <w:szCs w:val="18"/>
                <w:lang w:val="ro-MD"/>
              </w:rPr>
              <w:t xml:space="preserve">instrumente financiare derivate pe baza datelor din ultima zi a fiecărei luni, în conformitate cu următoarele cerinţe: </w:t>
            </w:r>
          </w:p>
          <w:p w14:paraId="3598AC2B" w14:textId="77777777" w:rsidR="00654B20" w:rsidRPr="008070DB" w:rsidRDefault="00654B20" w:rsidP="003456B0">
            <w:pPr>
              <w:tabs>
                <w:tab w:val="left" w:pos="414"/>
              </w:tabs>
              <w:jc w:val="both"/>
              <w:rPr>
                <w:sz w:val="18"/>
                <w:szCs w:val="18"/>
                <w:lang w:val="ro-MD"/>
              </w:rPr>
            </w:pPr>
            <w:r w:rsidRPr="008070DB">
              <w:rPr>
                <w:sz w:val="18"/>
                <w:szCs w:val="18"/>
                <w:lang w:val="ro-MD"/>
              </w:rPr>
              <w:t>22.1.</w:t>
            </w:r>
            <w:r w:rsidRPr="008070DB">
              <w:rPr>
                <w:sz w:val="18"/>
                <w:szCs w:val="18"/>
                <w:lang w:val="ro-MD"/>
              </w:rPr>
              <w:tab/>
              <w:t xml:space="preserve">poziţiile pe instrumente financiare derivate se evaluează la valorile lor de piaţă de la data evaluării; în cazul în care valoarea de piaţă a unei poziţii nu este disponibilă la data evaluării, băncile utilizează valoarea justă pentru poziţia respectivă la data la care este disponibilă; în cazul în care valoarea de piaţă și valoarea justă a unei poziţii nu sunt disponibile la o anumită dată, băncile utilizează cea mai recentă valoare de piaţă sau valoare justă pentru poziţia respectivă; </w:t>
            </w:r>
          </w:p>
          <w:p w14:paraId="3D11B900" w14:textId="77777777" w:rsidR="00654B20" w:rsidRPr="008070DB" w:rsidRDefault="00654B20" w:rsidP="003456B0">
            <w:pPr>
              <w:tabs>
                <w:tab w:val="left" w:pos="414"/>
              </w:tabs>
              <w:jc w:val="both"/>
              <w:rPr>
                <w:sz w:val="18"/>
                <w:szCs w:val="18"/>
                <w:lang w:val="ro-MD"/>
              </w:rPr>
            </w:pPr>
            <w:r w:rsidRPr="008070DB">
              <w:rPr>
                <w:sz w:val="18"/>
                <w:szCs w:val="18"/>
                <w:lang w:val="ro-MD"/>
              </w:rPr>
              <w:t>22.2.</w:t>
            </w:r>
            <w:r w:rsidRPr="008070DB">
              <w:rPr>
                <w:sz w:val="18"/>
                <w:szCs w:val="18"/>
                <w:lang w:val="ro-MD"/>
              </w:rPr>
              <w:tab/>
              <w:t xml:space="preserve">valoarea absolută a poziţiei lungi agregate se adună cu valoarea absolută a poziţiilor scurte agregate; </w:t>
            </w:r>
          </w:p>
          <w:p w14:paraId="5D13D9C5" w14:textId="77777777" w:rsidR="00654B20" w:rsidRPr="008070DB" w:rsidRDefault="00654B20" w:rsidP="003456B0">
            <w:pPr>
              <w:tabs>
                <w:tab w:val="left" w:pos="272"/>
              </w:tabs>
              <w:jc w:val="both"/>
              <w:rPr>
                <w:sz w:val="18"/>
                <w:szCs w:val="18"/>
                <w:lang w:val="ro-MD"/>
              </w:rPr>
            </w:pPr>
            <w:r w:rsidRPr="008070DB">
              <w:rPr>
                <w:sz w:val="18"/>
                <w:szCs w:val="18"/>
                <w:lang w:val="ro-MD"/>
              </w:rPr>
              <w:t>22.3.</w:t>
            </w:r>
            <w:r w:rsidRPr="008070DB">
              <w:rPr>
                <w:sz w:val="18"/>
                <w:szCs w:val="18"/>
                <w:lang w:val="ro-MD"/>
              </w:rPr>
              <w:tab/>
              <w:t xml:space="preserve">sunt incluse toate poziţiile pe instrumente financiare derivate, cu excepţia instrumentelor financiare derivate de credit care sunt recunoscute ca acoperiri interne împotriva expunerilor la riscul de credit din afara portofoliului de tranzacţionare. </w:t>
            </w:r>
          </w:p>
          <w:p w14:paraId="7A7C83A3" w14:textId="06B17E34" w:rsidR="00654B20" w:rsidRPr="008070DB" w:rsidRDefault="00654B20" w:rsidP="003456B0">
            <w:pPr>
              <w:tabs>
                <w:tab w:val="left" w:pos="272"/>
              </w:tabs>
              <w:jc w:val="both"/>
              <w:rPr>
                <w:sz w:val="18"/>
                <w:szCs w:val="18"/>
                <w:lang w:val="ro-MD"/>
              </w:rPr>
            </w:pPr>
            <w:r w:rsidRPr="008070DB">
              <w:rPr>
                <w:b/>
                <w:bCs/>
                <w:sz w:val="18"/>
                <w:szCs w:val="18"/>
                <w:lang w:val="ro-MD"/>
              </w:rPr>
              <w:t>23.</w:t>
            </w:r>
            <w:r w:rsidRPr="008070DB">
              <w:rPr>
                <w:sz w:val="18"/>
                <w:szCs w:val="18"/>
                <w:lang w:val="ro-MD"/>
              </w:rPr>
              <w:tab/>
            </w:r>
            <w:r w:rsidR="001E76F1" w:rsidRPr="008070DB">
              <w:rPr>
                <w:sz w:val="18"/>
                <w:szCs w:val="18"/>
                <w:lang w:val="ro-MD"/>
              </w:rPr>
              <w:t xml:space="preserve">Potrivit </w:t>
            </w:r>
            <w:r w:rsidRPr="008070DB">
              <w:rPr>
                <w:sz w:val="18"/>
                <w:szCs w:val="18"/>
                <w:lang w:val="ro-MD"/>
              </w:rPr>
              <w:t>punctului 22, poziţiile lungi și scurte au același înţeles ca cel stabilit la punctul 136 din Regulamentul nr.109/2018. În sensul punctului 22, valoarea poziţiei lungi (scurte) agregate este egală cu suma valorilor poziţiilor lungi (scurte) individuale incluse în calcul în conformitate cu subpunctul 22.3.</w:t>
            </w:r>
          </w:p>
          <w:p w14:paraId="1A4998C8" w14:textId="15D2F8E2" w:rsidR="00391A95" w:rsidRPr="008070DB" w:rsidRDefault="00654B20" w:rsidP="003456B0">
            <w:pPr>
              <w:tabs>
                <w:tab w:val="left" w:pos="272"/>
              </w:tabs>
              <w:jc w:val="both"/>
              <w:rPr>
                <w:sz w:val="18"/>
                <w:szCs w:val="18"/>
                <w:lang w:val="ro-MD"/>
              </w:rPr>
            </w:pPr>
            <w:r w:rsidRPr="008070DB">
              <w:rPr>
                <w:b/>
                <w:bCs/>
                <w:sz w:val="18"/>
                <w:szCs w:val="18"/>
                <w:lang w:val="ro-MD"/>
              </w:rPr>
              <w:t>24.</w:t>
            </w:r>
            <w:r w:rsidRPr="008070DB">
              <w:rPr>
                <w:b/>
                <w:bCs/>
                <w:sz w:val="18"/>
                <w:szCs w:val="18"/>
                <w:lang w:val="ro-MD"/>
              </w:rPr>
              <w:tab/>
            </w:r>
            <w:r w:rsidRPr="008070DB">
              <w:rPr>
                <w:sz w:val="18"/>
                <w:szCs w:val="18"/>
                <w:lang w:val="ro-MD"/>
              </w:rPr>
              <w:t>Prin derogare de la punctele 20 sau 21, în cazul în care banca la nivel individual depășește limitele la punctele menționate, dar la nivel consolidat se încadrează în aceste limite, banca este în drept să aplice una din metodele prevăzute în capitolul III  sau IV, cu aprobarea prealabilă a Băncii Naționale a Moldovei.</w:t>
            </w:r>
          </w:p>
          <w:p w14:paraId="4BEFE5EC" w14:textId="77777777" w:rsidR="00A60297" w:rsidRPr="008070DB" w:rsidRDefault="00A60297" w:rsidP="003456B0">
            <w:pPr>
              <w:tabs>
                <w:tab w:val="left" w:pos="272"/>
              </w:tabs>
              <w:jc w:val="both"/>
              <w:rPr>
                <w:b/>
                <w:bCs/>
                <w:sz w:val="18"/>
                <w:szCs w:val="18"/>
                <w:lang w:val="ro-MD"/>
              </w:rPr>
            </w:pPr>
          </w:p>
          <w:p w14:paraId="009BCB8C" w14:textId="77777777" w:rsidR="006D70BA" w:rsidRPr="008070DB" w:rsidRDefault="006D70BA" w:rsidP="003456B0">
            <w:pPr>
              <w:tabs>
                <w:tab w:val="left" w:pos="272"/>
              </w:tabs>
              <w:jc w:val="both"/>
              <w:rPr>
                <w:b/>
                <w:bCs/>
                <w:sz w:val="18"/>
                <w:szCs w:val="18"/>
                <w:lang w:val="ro-MD"/>
              </w:rPr>
            </w:pPr>
          </w:p>
          <w:p w14:paraId="6A27903E" w14:textId="77777777" w:rsidR="006D70BA" w:rsidRPr="008070DB" w:rsidRDefault="006D70BA" w:rsidP="003456B0">
            <w:pPr>
              <w:tabs>
                <w:tab w:val="left" w:pos="272"/>
              </w:tabs>
              <w:jc w:val="both"/>
              <w:rPr>
                <w:b/>
                <w:bCs/>
                <w:sz w:val="18"/>
                <w:szCs w:val="18"/>
                <w:lang w:val="ro-MD"/>
              </w:rPr>
            </w:pPr>
          </w:p>
          <w:p w14:paraId="3B2596B7" w14:textId="77777777" w:rsidR="006D70BA" w:rsidRPr="008070DB" w:rsidRDefault="006D70BA" w:rsidP="003456B0">
            <w:pPr>
              <w:tabs>
                <w:tab w:val="left" w:pos="272"/>
              </w:tabs>
              <w:jc w:val="both"/>
              <w:rPr>
                <w:b/>
                <w:bCs/>
                <w:sz w:val="18"/>
                <w:szCs w:val="18"/>
                <w:lang w:val="ro-MD"/>
              </w:rPr>
            </w:pPr>
          </w:p>
          <w:p w14:paraId="0BE3E089" w14:textId="77777777" w:rsidR="006D70BA" w:rsidRPr="008070DB" w:rsidRDefault="006D70BA" w:rsidP="003456B0">
            <w:pPr>
              <w:tabs>
                <w:tab w:val="left" w:pos="272"/>
              </w:tabs>
              <w:jc w:val="both"/>
              <w:rPr>
                <w:b/>
                <w:bCs/>
                <w:sz w:val="18"/>
                <w:szCs w:val="18"/>
                <w:lang w:val="ro-MD"/>
              </w:rPr>
            </w:pPr>
          </w:p>
          <w:p w14:paraId="182CC670" w14:textId="77777777" w:rsidR="006D70BA" w:rsidRPr="008070DB" w:rsidRDefault="006D70BA" w:rsidP="003456B0">
            <w:pPr>
              <w:tabs>
                <w:tab w:val="left" w:pos="272"/>
              </w:tabs>
              <w:jc w:val="both"/>
              <w:rPr>
                <w:b/>
                <w:bCs/>
                <w:sz w:val="18"/>
                <w:szCs w:val="18"/>
                <w:lang w:val="ro-MD"/>
              </w:rPr>
            </w:pPr>
          </w:p>
          <w:p w14:paraId="1CD66D45" w14:textId="77777777" w:rsidR="006D70BA" w:rsidRPr="008070DB" w:rsidRDefault="006D70BA" w:rsidP="003456B0">
            <w:pPr>
              <w:tabs>
                <w:tab w:val="left" w:pos="272"/>
              </w:tabs>
              <w:jc w:val="both"/>
              <w:rPr>
                <w:b/>
                <w:bCs/>
                <w:sz w:val="18"/>
                <w:szCs w:val="18"/>
                <w:lang w:val="ro-MD"/>
              </w:rPr>
            </w:pPr>
          </w:p>
          <w:p w14:paraId="280F6C49" w14:textId="77777777" w:rsidR="006D70BA" w:rsidRPr="008070DB" w:rsidRDefault="006D70BA" w:rsidP="003456B0">
            <w:pPr>
              <w:tabs>
                <w:tab w:val="left" w:pos="272"/>
              </w:tabs>
              <w:jc w:val="both"/>
              <w:rPr>
                <w:b/>
                <w:bCs/>
                <w:sz w:val="18"/>
                <w:szCs w:val="18"/>
                <w:lang w:val="ro-MD"/>
              </w:rPr>
            </w:pPr>
          </w:p>
          <w:p w14:paraId="620671F5" w14:textId="77777777" w:rsidR="006D70BA" w:rsidRPr="008070DB" w:rsidRDefault="006D70BA" w:rsidP="003456B0">
            <w:pPr>
              <w:tabs>
                <w:tab w:val="left" w:pos="272"/>
              </w:tabs>
              <w:jc w:val="both"/>
              <w:rPr>
                <w:b/>
                <w:bCs/>
                <w:sz w:val="18"/>
                <w:szCs w:val="18"/>
                <w:lang w:val="ro-MD"/>
              </w:rPr>
            </w:pPr>
          </w:p>
          <w:p w14:paraId="646DFB10" w14:textId="77777777" w:rsidR="006D70BA" w:rsidRPr="008070DB" w:rsidRDefault="006D70BA" w:rsidP="003456B0">
            <w:pPr>
              <w:tabs>
                <w:tab w:val="left" w:pos="272"/>
              </w:tabs>
              <w:jc w:val="both"/>
              <w:rPr>
                <w:b/>
                <w:bCs/>
                <w:sz w:val="18"/>
                <w:szCs w:val="18"/>
                <w:lang w:val="ro-MD"/>
              </w:rPr>
            </w:pPr>
          </w:p>
          <w:p w14:paraId="07257227" w14:textId="77777777" w:rsidR="006D70BA" w:rsidRPr="008070DB" w:rsidRDefault="006D70BA" w:rsidP="003456B0">
            <w:pPr>
              <w:tabs>
                <w:tab w:val="left" w:pos="272"/>
              </w:tabs>
              <w:jc w:val="both"/>
              <w:rPr>
                <w:b/>
                <w:bCs/>
                <w:sz w:val="18"/>
                <w:szCs w:val="18"/>
                <w:lang w:val="ro-MD"/>
              </w:rPr>
            </w:pPr>
          </w:p>
          <w:p w14:paraId="7E9C2910" w14:textId="77777777" w:rsidR="006D70BA" w:rsidRPr="008070DB" w:rsidRDefault="006D70BA" w:rsidP="003456B0">
            <w:pPr>
              <w:tabs>
                <w:tab w:val="left" w:pos="272"/>
              </w:tabs>
              <w:jc w:val="both"/>
              <w:rPr>
                <w:b/>
                <w:bCs/>
                <w:sz w:val="18"/>
                <w:szCs w:val="18"/>
                <w:lang w:val="ro-MD"/>
              </w:rPr>
            </w:pPr>
          </w:p>
          <w:p w14:paraId="007D034B" w14:textId="77777777" w:rsidR="006D70BA" w:rsidRPr="008070DB" w:rsidRDefault="006D70BA" w:rsidP="003456B0">
            <w:pPr>
              <w:tabs>
                <w:tab w:val="left" w:pos="272"/>
              </w:tabs>
              <w:jc w:val="both"/>
              <w:rPr>
                <w:b/>
                <w:bCs/>
                <w:sz w:val="18"/>
                <w:szCs w:val="18"/>
                <w:lang w:val="ro-MD"/>
              </w:rPr>
            </w:pPr>
          </w:p>
          <w:p w14:paraId="6AE7753B" w14:textId="77777777" w:rsidR="006D70BA" w:rsidRPr="008070DB" w:rsidRDefault="006D70BA" w:rsidP="003456B0">
            <w:pPr>
              <w:tabs>
                <w:tab w:val="left" w:pos="272"/>
              </w:tabs>
              <w:jc w:val="both"/>
              <w:rPr>
                <w:b/>
                <w:bCs/>
                <w:sz w:val="18"/>
                <w:szCs w:val="18"/>
                <w:lang w:val="ro-MD"/>
              </w:rPr>
            </w:pPr>
          </w:p>
          <w:p w14:paraId="4AAA4784" w14:textId="77777777" w:rsidR="006D70BA" w:rsidRPr="008070DB" w:rsidRDefault="006D70BA" w:rsidP="003456B0">
            <w:pPr>
              <w:tabs>
                <w:tab w:val="left" w:pos="272"/>
              </w:tabs>
              <w:jc w:val="both"/>
              <w:rPr>
                <w:b/>
                <w:bCs/>
                <w:sz w:val="18"/>
                <w:szCs w:val="18"/>
                <w:lang w:val="ro-MD"/>
              </w:rPr>
            </w:pPr>
          </w:p>
          <w:p w14:paraId="1C929EB9" w14:textId="77777777" w:rsidR="006D70BA" w:rsidRPr="008070DB" w:rsidRDefault="006D70BA" w:rsidP="003456B0">
            <w:pPr>
              <w:tabs>
                <w:tab w:val="left" w:pos="272"/>
              </w:tabs>
              <w:jc w:val="both"/>
              <w:rPr>
                <w:b/>
                <w:bCs/>
                <w:sz w:val="18"/>
                <w:szCs w:val="18"/>
                <w:lang w:val="ro-MD"/>
              </w:rPr>
            </w:pPr>
          </w:p>
          <w:p w14:paraId="0D70707F" w14:textId="77777777" w:rsidR="00A60297" w:rsidRPr="008070DB" w:rsidRDefault="00A60297" w:rsidP="003456B0">
            <w:pPr>
              <w:tabs>
                <w:tab w:val="left" w:pos="272"/>
              </w:tabs>
              <w:jc w:val="both"/>
              <w:rPr>
                <w:b/>
                <w:bCs/>
                <w:sz w:val="18"/>
                <w:szCs w:val="18"/>
                <w:lang w:val="ro-MD"/>
              </w:rPr>
            </w:pPr>
          </w:p>
          <w:p w14:paraId="4AC15F14" w14:textId="77777777" w:rsidR="00A60297" w:rsidRPr="008070DB" w:rsidRDefault="00A60297" w:rsidP="003456B0">
            <w:pPr>
              <w:tabs>
                <w:tab w:val="left" w:pos="272"/>
              </w:tabs>
              <w:jc w:val="both"/>
              <w:rPr>
                <w:b/>
                <w:bCs/>
                <w:sz w:val="18"/>
                <w:szCs w:val="18"/>
                <w:lang w:val="ro-MD"/>
              </w:rPr>
            </w:pPr>
          </w:p>
          <w:p w14:paraId="20A3221C" w14:textId="77777777" w:rsidR="00A60297" w:rsidRPr="008070DB" w:rsidRDefault="00A60297" w:rsidP="003456B0">
            <w:pPr>
              <w:tabs>
                <w:tab w:val="left" w:pos="272"/>
              </w:tabs>
              <w:jc w:val="both"/>
              <w:rPr>
                <w:b/>
                <w:bCs/>
                <w:sz w:val="18"/>
                <w:szCs w:val="18"/>
                <w:lang w:val="ro-MD"/>
              </w:rPr>
            </w:pPr>
          </w:p>
          <w:p w14:paraId="6572DB8E" w14:textId="77777777" w:rsidR="00A60297" w:rsidRPr="008070DB" w:rsidRDefault="00A60297" w:rsidP="003456B0">
            <w:pPr>
              <w:tabs>
                <w:tab w:val="left" w:pos="272"/>
              </w:tabs>
              <w:jc w:val="both"/>
              <w:rPr>
                <w:b/>
                <w:bCs/>
                <w:sz w:val="18"/>
                <w:szCs w:val="18"/>
                <w:lang w:val="ro-MD"/>
              </w:rPr>
            </w:pPr>
          </w:p>
          <w:p w14:paraId="7945870C" w14:textId="09A93456" w:rsidR="00493B24" w:rsidRPr="008070DB" w:rsidRDefault="00493B24" w:rsidP="003456B0">
            <w:pPr>
              <w:tabs>
                <w:tab w:val="left" w:pos="272"/>
              </w:tabs>
              <w:jc w:val="both"/>
              <w:rPr>
                <w:b/>
                <w:bCs/>
                <w:sz w:val="18"/>
                <w:szCs w:val="18"/>
                <w:lang w:val="ro-MD"/>
              </w:rPr>
            </w:pPr>
          </w:p>
          <w:p w14:paraId="1C7A91DA" w14:textId="1388238C" w:rsidR="001A4DE8" w:rsidRPr="008070DB" w:rsidRDefault="006D70BA" w:rsidP="003456B0">
            <w:pPr>
              <w:pStyle w:val="NoSpacing"/>
              <w:tabs>
                <w:tab w:val="left" w:pos="272"/>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253A0860" w14:textId="28B9A382"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083F7FBC" w14:textId="77777777" w:rsidR="001A4DE8" w:rsidRPr="00A96E09" w:rsidRDefault="001A4DE8" w:rsidP="00C14AF6">
            <w:pPr>
              <w:jc w:val="both"/>
              <w:rPr>
                <w:sz w:val="18"/>
                <w:szCs w:val="18"/>
                <w:lang w:val="ro-MD"/>
              </w:rPr>
            </w:pPr>
          </w:p>
        </w:tc>
      </w:tr>
      <w:tr w:rsidR="00B67386" w:rsidRPr="00EB7E01" w14:paraId="787CEC81" w14:textId="77777777" w:rsidTr="00C14AF6">
        <w:trPr>
          <w:trHeight w:val="918"/>
        </w:trPr>
        <w:tc>
          <w:tcPr>
            <w:tcW w:w="3866" w:type="dxa"/>
          </w:tcPr>
          <w:p w14:paraId="2824E132" w14:textId="77777777" w:rsidR="00B67386" w:rsidRPr="00A96E09" w:rsidRDefault="00B67386" w:rsidP="003456B0">
            <w:pPr>
              <w:pStyle w:val="title-article-norm"/>
              <w:tabs>
                <w:tab w:val="left" w:pos="188"/>
              </w:tabs>
              <w:jc w:val="both"/>
              <w:rPr>
                <w:iCs w:val="0"/>
                <w:sz w:val="18"/>
                <w:szCs w:val="18"/>
                <w:lang w:val="ro-MD"/>
              </w:rPr>
            </w:pPr>
          </w:p>
        </w:tc>
        <w:tc>
          <w:tcPr>
            <w:tcW w:w="4356" w:type="dxa"/>
          </w:tcPr>
          <w:p w14:paraId="256C1209" w14:textId="232B1EC3" w:rsidR="00B67386" w:rsidRPr="008070DB" w:rsidRDefault="00B67386" w:rsidP="003456B0">
            <w:pPr>
              <w:tabs>
                <w:tab w:val="left" w:pos="568"/>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25.</w:t>
            </w:r>
            <w:r w:rsidRPr="008070DB">
              <w:rPr>
                <w:rFonts w:eastAsiaTheme="minorHAnsi"/>
                <w:sz w:val="18"/>
                <w:szCs w:val="18"/>
                <w:lang w:val="ro-MD" w:eastAsia="en-US"/>
              </w:rPr>
              <w:t xml:space="preserve"> Pentru eliberarea aprobării prealabile banca înaintează către Banca Națională a Moldovei o cerere la care se anexează documentele şi informaţiile care argumentează solicitarea/confirmă dacă sunt îndeplinite cerințele prevăzute la punctul 24 </w:t>
            </w:r>
            <w:r w:rsidR="006858D8" w:rsidRPr="008070DB">
              <w:rPr>
                <w:rFonts w:eastAsiaTheme="minorHAnsi"/>
                <w:sz w:val="18"/>
                <w:szCs w:val="18"/>
                <w:lang w:val="ro-MD" w:eastAsia="en-US"/>
              </w:rPr>
              <w:t>sau</w:t>
            </w:r>
            <w:r w:rsidRPr="008070DB">
              <w:rPr>
                <w:rFonts w:eastAsiaTheme="minorHAnsi"/>
                <w:sz w:val="18"/>
                <w:szCs w:val="18"/>
                <w:lang w:val="ro-MD" w:eastAsia="en-US"/>
              </w:rPr>
              <w:t xml:space="preserve"> 34, după caz.  </w:t>
            </w:r>
          </w:p>
          <w:p w14:paraId="00D71B73" w14:textId="3EF58B25" w:rsidR="00B67386" w:rsidRPr="008070DB" w:rsidRDefault="00B67386"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26.</w:t>
            </w:r>
            <w:r w:rsidRPr="008070DB">
              <w:rPr>
                <w:rFonts w:eastAsiaTheme="minorHAnsi"/>
                <w:sz w:val="18"/>
                <w:szCs w:val="18"/>
                <w:lang w:val="ro-MD" w:eastAsia="en-US"/>
              </w:rPr>
              <w:t xml:space="preserve"> Cererea, precum şi documentele/ informaţiile necesare specificate în anexa </w:t>
            </w:r>
            <w:r w:rsidR="00D43539">
              <w:rPr>
                <w:rFonts w:eastAsiaTheme="minorHAnsi"/>
                <w:sz w:val="18"/>
                <w:szCs w:val="18"/>
                <w:lang w:val="ro-MD" w:eastAsia="en-US"/>
              </w:rPr>
              <w:t xml:space="preserve">1 </w:t>
            </w:r>
            <w:r w:rsidRPr="008070DB">
              <w:rPr>
                <w:rFonts w:eastAsiaTheme="minorHAnsi"/>
                <w:sz w:val="18"/>
                <w:szCs w:val="18"/>
                <w:lang w:val="ro-MD" w:eastAsia="en-US"/>
              </w:rPr>
              <w:t xml:space="preserve">la regulament se prezintă la Banca Națională a Moldovei în limba română şi se semnează de către persoana împuternicită de bancă.  </w:t>
            </w:r>
          </w:p>
          <w:p w14:paraId="1E60CCDD" w14:textId="17665F47" w:rsidR="00B67386" w:rsidRPr="008070DB" w:rsidRDefault="00B67386"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27.</w:t>
            </w:r>
            <w:r w:rsidRPr="008070DB">
              <w:rPr>
                <w:rFonts w:eastAsiaTheme="minorHAnsi"/>
                <w:sz w:val="18"/>
                <w:szCs w:val="18"/>
                <w:lang w:val="ro-MD" w:eastAsia="en-US"/>
              </w:rPr>
              <w:t xml:space="preserve"> În cazul în care documentele/ informaţiile specificate la punctul 25 nu corespund punctelor 25 </w:t>
            </w:r>
            <w:r w:rsidR="006858D8" w:rsidRPr="008070DB">
              <w:rPr>
                <w:rFonts w:eastAsiaTheme="minorHAnsi"/>
                <w:sz w:val="18"/>
                <w:szCs w:val="18"/>
                <w:lang w:val="ro-MD" w:eastAsia="en-US"/>
              </w:rPr>
              <w:t>sau</w:t>
            </w:r>
            <w:r w:rsidRPr="008070DB">
              <w:rPr>
                <w:rFonts w:eastAsiaTheme="minorHAnsi"/>
                <w:sz w:val="18"/>
                <w:szCs w:val="18"/>
                <w:lang w:val="ro-MD" w:eastAsia="en-US"/>
              </w:rPr>
              <w:t xml:space="preserve"> 26, Banca Națională a Moldovei înştiinţează în scris banca despre acest fapt în termen de 5 zile lucrătoare de la data depunerii cererii. Banca, în termen de 10 zile lucrătoare de la data recepţionării scrisorii Băncii Naționale a Moldovei, completează şi prezintă la Banca Națională a Moldovei documentele şi/sau informaţiile care lipsesc.</w:t>
            </w:r>
          </w:p>
          <w:p w14:paraId="029FF3FC" w14:textId="508F2ABA" w:rsidR="00B67386" w:rsidRPr="008070DB" w:rsidRDefault="00B67386"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28.</w:t>
            </w:r>
            <w:r w:rsidRPr="008070DB">
              <w:rPr>
                <w:rFonts w:eastAsiaTheme="minorHAnsi"/>
                <w:sz w:val="18"/>
                <w:szCs w:val="18"/>
                <w:lang w:val="ro-MD" w:eastAsia="en-US"/>
              </w:rPr>
              <w:t xml:space="preserve"> În cazul în care banca nu completează în termenul prevăzut la punctul 27 setul de documente şi informaţii, Banca Națională a Moldovei informează banca despre încetarea procedurii administrative în termen de 3 zile lucrătoare de la expirarea termenului acordat.</w:t>
            </w:r>
          </w:p>
          <w:p w14:paraId="4D5FB8C7" w14:textId="273D1D56" w:rsidR="00B67386" w:rsidRPr="008070DB" w:rsidRDefault="00B67386"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lastRenderedPageBreak/>
              <w:t>29.</w:t>
            </w:r>
            <w:r w:rsidRPr="008070DB">
              <w:rPr>
                <w:rFonts w:eastAsiaTheme="minorHAnsi"/>
                <w:sz w:val="18"/>
                <w:szCs w:val="18"/>
                <w:lang w:val="ro-MD" w:eastAsia="en-US"/>
              </w:rPr>
              <w:t xml:space="preserve"> În termen de 60 de zile lucrătoare de la data primirii setului complet de documente şi informaţii în conformitate cu prezentul capitol, Banca Națională a Moldovei eliberează aprobarea prealabilă corespunzătoare sau respinge cererea, informând în scris banca despre decizia sa. Dacă este necesară o examinare suplimentară sau este nevoie de mai mult timp pentru prelucrarea informaţiilor şi documentelor, termenul poate fi prelungit cu cel mult 30 de zile lucrătoare, cu notificarea băncii.</w:t>
            </w:r>
          </w:p>
          <w:p w14:paraId="6C4086E8" w14:textId="646B3DAD" w:rsidR="00B67386" w:rsidRPr="008070DB" w:rsidRDefault="00B67386"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30.</w:t>
            </w:r>
            <w:r w:rsidRPr="008070DB">
              <w:rPr>
                <w:rFonts w:eastAsiaTheme="minorHAnsi"/>
                <w:sz w:val="18"/>
                <w:szCs w:val="18"/>
                <w:lang w:val="ro-MD" w:eastAsia="en-US"/>
              </w:rPr>
              <w:t xml:space="preserve"> În cazul în care documentele şi informaţiile prezentate conform prezentului capitol sunt insuficiente pentru a lua o decizie cu privire la cererea de aprobare prealabilă în contextul punctului 24 </w:t>
            </w:r>
            <w:r w:rsidR="006858D8" w:rsidRPr="008070DB">
              <w:rPr>
                <w:rFonts w:eastAsiaTheme="minorHAnsi"/>
                <w:sz w:val="18"/>
                <w:szCs w:val="18"/>
                <w:lang w:val="ro-MD" w:eastAsia="en-US"/>
              </w:rPr>
              <w:t>sau</w:t>
            </w:r>
            <w:r w:rsidRPr="008070DB">
              <w:rPr>
                <w:rFonts w:eastAsiaTheme="minorHAnsi"/>
                <w:sz w:val="18"/>
                <w:szCs w:val="18"/>
                <w:lang w:val="ro-MD" w:eastAsia="en-US"/>
              </w:rPr>
              <w:t xml:space="preserve"> 34, după caz, Banca Națională a Moldovei este în drept să solicite prezentarea documentelor şi a informaţiilor suplimentare.</w:t>
            </w:r>
          </w:p>
          <w:p w14:paraId="0284503F" w14:textId="63D57B62" w:rsidR="00B67386" w:rsidRPr="008070DB" w:rsidRDefault="00B67386"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31.</w:t>
            </w:r>
            <w:r w:rsidRPr="008070DB">
              <w:rPr>
                <w:rFonts w:eastAsiaTheme="minorHAnsi"/>
                <w:sz w:val="18"/>
                <w:szCs w:val="18"/>
                <w:lang w:val="ro-MD" w:eastAsia="en-US"/>
              </w:rPr>
              <w:t xml:space="preserve"> Banca este obligată să prezinte informaţiile şi documentele suplimentare în termenul indicat de Banca Națională a Moldovei, perioadă pe parcursul căreia termenul prevăzut la punctul 29 se suspendă.</w:t>
            </w:r>
          </w:p>
          <w:p w14:paraId="29072BF9" w14:textId="1297D45B" w:rsidR="00B67386" w:rsidRPr="008070DB" w:rsidRDefault="007717C5" w:rsidP="003456B0">
            <w:pPr>
              <w:tabs>
                <w:tab w:val="left" w:pos="851"/>
              </w:tabs>
              <w:spacing w:after="160" w:line="259" w:lineRule="auto"/>
              <w:contextualSpacing/>
              <w:jc w:val="both"/>
              <w:rPr>
                <w:rFonts w:eastAsiaTheme="minorHAnsi"/>
                <w:sz w:val="18"/>
                <w:szCs w:val="18"/>
                <w:lang w:val="ro-MD" w:eastAsia="en-US"/>
              </w:rPr>
            </w:pPr>
            <w:r w:rsidRPr="008070DB">
              <w:rPr>
                <w:rFonts w:eastAsiaTheme="minorHAnsi"/>
                <w:b/>
                <w:bCs/>
                <w:sz w:val="18"/>
                <w:szCs w:val="18"/>
                <w:lang w:val="ro-MD" w:eastAsia="en-US"/>
              </w:rPr>
              <w:t>32.</w:t>
            </w:r>
            <w:r w:rsidRPr="008070DB">
              <w:rPr>
                <w:rFonts w:eastAsiaTheme="minorHAnsi"/>
                <w:sz w:val="18"/>
                <w:szCs w:val="18"/>
                <w:lang w:val="ro-MD" w:eastAsia="en-US"/>
              </w:rPr>
              <w:t xml:space="preserve"> </w:t>
            </w:r>
            <w:r w:rsidR="00B67386" w:rsidRPr="008070DB">
              <w:rPr>
                <w:rFonts w:eastAsiaTheme="minorHAnsi"/>
                <w:sz w:val="18"/>
                <w:szCs w:val="18"/>
                <w:lang w:val="ro-MD" w:eastAsia="en-US"/>
              </w:rPr>
              <w:t>În caz de respingere a cererii pentru obţinerea aprobării prealabile, se vor indica temeiurile în baza cărora se respinge cererea. Drept temei de respingere a cererii pentru obţinerea aprobării prealabile a Băncii Naționale a Moldovei sunt considerate următoarele:</w:t>
            </w:r>
          </w:p>
          <w:p w14:paraId="132EB3F2" w14:textId="77777777" w:rsidR="00B67386" w:rsidRPr="008070DB" w:rsidRDefault="00B67386" w:rsidP="003456B0">
            <w:pPr>
              <w:tabs>
                <w:tab w:val="left" w:pos="426"/>
              </w:tabs>
              <w:spacing w:after="160" w:line="259" w:lineRule="auto"/>
              <w:ind w:hanging="12"/>
              <w:contextualSpacing/>
              <w:jc w:val="both"/>
              <w:rPr>
                <w:rFonts w:eastAsiaTheme="minorHAnsi"/>
                <w:sz w:val="18"/>
                <w:szCs w:val="18"/>
                <w:lang w:val="ro-MD" w:eastAsia="en-US"/>
              </w:rPr>
            </w:pPr>
            <w:r w:rsidRPr="008070DB">
              <w:rPr>
                <w:rFonts w:eastAsiaTheme="minorHAnsi"/>
                <w:sz w:val="18"/>
                <w:szCs w:val="18"/>
                <w:lang w:val="ro-MD" w:eastAsia="en-US"/>
              </w:rPr>
              <w:t>32.1. neîndeplinirea cerințelor stabilite la punctul 24 și 34, după caz, pentru obţinerea aprobării prealabile   respective, după caz şi/sau</w:t>
            </w:r>
          </w:p>
          <w:p w14:paraId="01BA1625" w14:textId="77777777" w:rsidR="00B67386" w:rsidRPr="008070DB" w:rsidRDefault="00B67386" w:rsidP="003456B0">
            <w:pPr>
              <w:tabs>
                <w:tab w:val="left" w:pos="426"/>
              </w:tabs>
              <w:spacing w:line="259" w:lineRule="auto"/>
              <w:ind w:hanging="12"/>
              <w:jc w:val="both"/>
              <w:rPr>
                <w:rFonts w:eastAsiaTheme="minorHAnsi"/>
                <w:sz w:val="18"/>
                <w:szCs w:val="18"/>
                <w:lang w:val="ro-MD" w:eastAsia="en-US"/>
              </w:rPr>
            </w:pPr>
            <w:r w:rsidRPr="008070DB">
              <w:rPr>
                <w:rFonts w:eastAsiaTheme="minorHAnsi"/>
                <w:sz w:val="18"/>
                <w:szCs w:val="18"/>
                <w:lang w:val="ro-MD" w:eastAsia="en-US"/>
              </w:rPr>
              <w:t>32.2. prezentarea la Banca Națională a Moldovei a informaţiei eronate, neautentice şi/sau contradictorii;</w:t>
            </w:r>
          </w:p>
          <w:p w14:paraId="5AF04B01" w14:textId="15846FD8" w:rsidR="00B67386" w:rsidRPr="008070DB" w:rsidRDefault="00B67386" w:rsidP="003456B0">
            <w:pPr>
              <w:tabs>
                <w:tab w:val="left" w:pos="426"/>
              </w:tabs>
              <w:spacing w:line="259" w:lineRule="auto"/>
              <w:ind w:hanging="12"/>
              <w:jc w:val="both"/>
              <w:rPr>
                <w:rFonts w:eastAsiaTheme="minorHAnsi"/>
                <w:sz w:val="18"/>
                <w:szCs w:val="18"/>
                <w:lang w:val="ro-MD" w:eastAsia="en-US"/>
              </w:rPr>
            </w:pPr>
            <w:r w:rsidRPr="008070DB">
              <w:rPr>
                <w:rFonts w:eastAsiaTheme="minorHAnsi"/>
                <w:sz w:val="18"/>
                <w:szCs w:val="18"/>
                <w:lang w:val="ro-MD" w:eastAsia="en-US"/>
              </w:rPr>
              <w:t xml:space="preserve">32.3. neprezentarea documentelor şi informaţiilor care confirmă întrunirea de către bancă a cerințelor stabilite la punctul 24 </w:t>
            </w:r>
            <w:r w:rsidR="006858D8" w:rsidRPr="008070DB">
              <w:rPr>
                <w:rFonts w:eastAsiaTheme="minorHAnsi"/>
                <w:sz w:val="18"/>
                <w:szCs w:val="18"/>
                <w:lang w:val="ro-MD" w:eastAsia="en-US"/>
              </w:rPr>
              <w:t>sau</w:t>
            </w:r>
            <w:r w:rsidRPr="008070DB">
              <w:rPr>
                <w:rFonts w:eastAsiaTheme="minorHAnsi"/>
                <w:sz w:val="18"/>
                <w:szCs w:val="18"/>
                <w:lang w:val="ro-MD" w:eastAsia="en-US"/>
              </w:rPr>
              <w:t xml:space="preserve"> 34, </w:t>
            </w:r>
            <w:bookmarkStart w:id="11" w:name="_Hlk208509265"/>
            <w:r w:rsidRPr="008070DB">
              <w:rPr>
                <w:rFonts w:eastAsiaTheme="minorHAnsi"/>
                <w:sz w:val="18"/>
                <w:szCs w:val="18"/>
                <w:lang w:val="ro-MD" w:eastAsia="en-US"/>
              </w:rPr>
              <w:t xml:space="preserve">după caz, </w:t>
            </w:r>
            <w:bookmarkEnd w:id="11"/>
            <w:r w:rsidRPr="008070DB">
              <w:rPr>
                <w:rFonts w:eastAsiaTheme="minorHAnsi"/>
                <w:sz w:val="18"/>
                <w:szCs w:val="18"/>
                <w:lang w:val="ro-MD" w:eastAsia="en-US"/>
              </w:rPr>
              <w:t>pentru obţinerea aprobării prealabile respective.</w:t>
            </w:r>
          </w:p>
          <w:p w14:paraId="2E4E4375" w14:textId="77777777" w:rsidR="00B67386" w:rsidRPr="008070DB" w:rsidRDefault="00B67386" w:rsidP="003456B0">
            <w:pPr>
              <w:tabs>
                <w:tab w:val="left" w:pos="851"/>
                <w:tab w:val="left" w:pos="1134"/>
              </w:tabs>
              <w:spacing w:line="259" w:lineRule="auto"/>
              <w:jc w:val="both"/>
              <w:rPr>
                <w:rFonts w:eastAsiaTheme="minorHAnsi"/>
                <w:sz w:val="18"/>
                <w:szCs w:val="18"/>
                <w:lang w:val="ro-MD" w:eastAsia="en-US"/>
              </w:rPr>
            </w:pPr>
            <w:r w:rsidRPr="008070DB">
              <w:rPr>
                <w:rFonts w:eastAsiaTheme="minorHAnsi"/>
                <w:b/>
                <w:bCs/>
                <w:sz w:val="18"/>
                <w:szCs w:val="18"/>
                <w:lang w:val="ro-MD" w:eastAsia="en-US"/>
              </w:rPr>
              <w:t>33.</w:t>
            </w:r>
            <w:r w:rsidRPr="008070DB">
              <w:rPr>
                <w:rFonts w:eastAsiaTheme="minorHAnsi"/>
                <w:sz w:val="18"/>
                <w:szCs w:val="18"/>
                <w:lang w:val="ro-MD" w:eastAsia="en-US"/>
              </w:rPr>
              <w:t xml:space="preserve"> Banca este în drept să aplice una dintre metodele prevăzute în capitolul III sau IV, în contextul punctului 24, începând cu data eliberării aprobării prealabile.</w:t>
            </w:r>
          </w:p>
          <w:p w14:paraId="178237AE" w14:textId="77777777" w:rsidR="00366868" w:rsidRPr="008070DB" w:rsidRDefault="00366868" w:rsidP="003456B0">
            <w:pPr>
              <w:tabs>
                <w:tab w:val="left" w:pos="851"/>
                <w:tab w:val="left" w:pos="1134"/>
              </w:tabs>
              <w:spacing w:line="259" w:lineRule="auto"/>
              <w:jc w:val="both"/>
              <w:rPr>
                <w:rFonts w:eastAsiaTheme="minorHAnsi"/>
                <w:sz w:val="18"/>
                <w:szCs w:val="18"/>
                <w:lang w:val="ro-MD" w:eastAsia="en-US"/>
              </w:rPr>
            </w:pPr>
          </w:p>
          <w:p w14:paraId="29DFF17D" w14:textId="799EBBD7" w:rsidR="00366868" w:rsidRPr="008070DB" w:rsidRDefault="00366868" w:rsidP="003456B0">
            <w:pPr>
              <w:tabs>
                <w:tab w:val="left" w:pos="851"/>
                <w:tab w:val="left" w:pos="1134"/>
              </w:tabs>
              <w:spacing w:line="259" w:lineRule="auto"/>
              <w:jc w:val="both"/>
              <w:rPr>
                <w:rFonts w:eastAsiaTheme="minorHAnsi"/>
                <w:sz w:val="18"/>
                <w:szCs w:val="18"/>
                <w:lang w:val="ro-MD" w:eastAsia="en-US"/>
              </w:rPr>
            </w:pPr>
            <w:r w:rsidRPr="008070DB">
              <w:rPr>
                <w:b/>
                <w:bCs/>
                <w:i/>
                <w:iCs/>
                <w:sz w:val="18"/>
                <w:szCs w:val="18"/>
                <w:lang w:val="ro-RO" w:eastAsia="ro-MD"/>
              </w:rPr>
              <w:lastRenderedPageBreak/>
              <w:t xml:space="preserve">Prevederi existente - </w:t>
            </w:r>
            <w:r w:rsidRPr="008070DB">
              <w:rPr>
                <w:i/>
                <w:iCs/>
                <w:sz w:val="18"/>
                <w:szCs w:val="18"/>
                <w:lang w:val="ro-RO" w:eastAsia="ro-MD"/>
              </w:rPr>
              <w:t>Regulamentul nr.220/2025</w:t>
            </w:r>
          </w:p>
        </w:tc>
        <w:tc>
          <w:tcPr>
            <w:tcW w:w="1554" w:type="dxa"/>
          </w:tcPr>
          <w:p w14:paraId="0F401657" w14:textId="77777777" w:rsidR="00B67386" w:rsidRPr="00A96E09" w:rsidRDefault="00B67386" w:rsidP="00C14AF6">
            <w:pPr>
              <w:jc w:val="both"/>
              <w:rPr>
                <w:sz w:val="18"/>
                <w:szCs w:val="18"/>
                <w:lang w:val="ro-MD"/>
              </w:rPr>
            </w:pPr>
          </w:p>
        </w:tc>
        <w:tc>
          <w:tcPr>
            <w:tcW w:w="4683" w:type="dxa"/>
            <w:tcBorders>
              <w:top w:val="single" w:sz="4" w:space="0" w:color="auto"/>
              <w:bottom w:val="single" w:sz="4" w:space="0" w:color="auto"/>
            </w:tcBorders>
          </w:tcPr>
          <w:p w14:paraId="5D0D29D2" w14:textId="77777777" w:rsidR="00B67386" w:rsidRPr="00A96E09" w:rsidRDefault="007717C5" w:rsidP="00C14AF6">
            <w:pPr>
              <w:jc w:val="both"/>
              <w:rPr>
                <w:sz w:val="18"/>
                <w:szCs w:val="18"/>
                <w:lang w:val="en-US"/>
              </w:rPr>
            </w:pPr>
            <w:r w:rsidRPr="00A96E09">
              <w:rPr>
                <w:sz w:val="18"/>
                <w:szCs w:val="18"/>
                <w:lang w:val="en-US"/>
              </w:rPr>
              <w:t>Pentru acordarea aprobării prealabile, s-a folosit o creație națională adaptată cadrului legislativ intern, pentru o aplicare eficientă și conformă cu normele europene.</w:t>
            </w:r>
          </w:p>
          <w:p w14:paraId="70024FD7" w14:textId="77777777" w:rsidR="007717C5" w:rsidRPr="00A96E09" w:rsidRDefault="007717C5" w:rsidP="007717C5">
            <w:pPr>
              <w:rPr>
                <w:sz w:val="18"/>
                <w:szCs w:val="18"/>
                <w:lang w:val="en-US"/>
              </w:rPr>
            </w:pPr>
          </w:p>
          <w:p w14:paraId="488E80B9" w14:textId="77777777" w:rsidR="007717C5" w:rsidRPr="00A96E09" w:rsidRDefault="007717C5" w:rsidP="007717C5">
            <w:pPr>
              <w:rPr>
                <w:sz w:val="18"/>
                <w:szCs w:val="18"/>
                <w:lang w:val="en-US"/>
              </w:rPr>
            </w:pPr>
          </w:p>
          <w:p w14:paraId="289C4094" w14:textId="77777777" w:rsidR="007717C5" w:rsidRPr="00A96E09" w:rsidRDefault="007717C5" w:rsidP="007717C5">
            <w:pPr>
              <w:rPr>
                <w:sz w:val="18"/>
                <w:szCs w:val="18"/>
                <w:lang w:val="en-US"/>
              </w:rPr>
            </w:pPr>
          </w:p>
          <w:p w14:paraId="27153FA6" w14:textId="77777777" w:rsidR="007717C5" w:rsidRPr="00A96E09" w:rsidRDefault="007717C5" w:rsidP="007717C5">
            <w:pPr>
              <w:rPr>
                <w:sz w:val="18"/>
                <w:szCs w:val="18"/>
                <w:lang w:val="en-US"/>
              </w:rPr>
            </w:pPr>
          </w:p>
          <w:p w14:paraId="6CE5BC0A" w14:textId="77777777" w:rsidR="007717C5" w:rsidRPr="00A96E09" w:rsidRDefault="007717C5" w:rsidP="007717C5">
            <w:pPr>
              <w:rPr>
                <w:sz w:val="18"/>
                <w:szCs w:val="18"/>
                <w:lang w:val="en-US"/>
              </w:rPr>
            </w:pPr>
          </w:p>
          <w:p w14:paraId="753B70B6" w14:textId="77777777" w:rsidR="007717C5" w:rsidRPr="00A96E09" w:rsidRDefault="007717C5" w:rsidP="007717C5">
            <w:pPr>
              <w:rPr>
                <w:sz w:val="18"/>
                <w:szCs w:val="18"/>
                <w:lang w:val="en-US"/>
              </w:rPr>
            </w:pPr>
          </w:p>
          <w:p w14:paraId="70655A5D" w14:textId="77777777" w:rsidR="007717C5" w:rsidRPr="00A96E09" w:rsidRDefault="007717C5" w:rsidP="007717C5">
            <w:pPr>
              <w:rPr>
                <w:sz w:val="18"/>
                <w:szCs w:val="18"/>
                <w:lang w:val="en-US"/>
              </w:rPr>
            </w:pPr>
          </w:p>
          <w:p w14:paraId="28A5B77D" w14:textId="1B4BE545" w:rsidR="007717C5" w:rsidRPr="00A96E09" w:rsidRDefault="007717C5" w:rsidP="007717C5">
            <w:pPr>
              <w:jc w:val="right"/>
              <w:rPr>
                <w:sz w:val="18"/>
                <w:szCs w:val="18"/>
                <w:lang w:val="en-US"/>
              </w:rPr>
            </w:pPr>
          </w:p>
        </w:tc>
      </w:tr>
      <w:tr w:rsidR="00A60297" w:rsidRPr="00EB7E01" w14:paraId="2BD17C27" w14:textId="77777777" w:rsidTr="00C14AF6">
        <w:trPr>
          <w:trHeight w:val="918"/>
        </w:trPr>
        <w:tc>
          <w:tcPr>
            <w:tcW w:w="3866" w:type="dxa"/>
          </w:tcPr>
          <w:p w14:paraId="4367DC95" w14:textId="2482DE07" w:rsidR="00A60297" w:rsidRPr="00A96E09" w:rsidRDefault="00A60297" w:rsidP="003456B0">
            <w:pPr>
              <w:pStyle w:val="title-article-norm"/>
              <w:tabs>
                <w:tab w:val="left" w:pos="188"/>
              </w:tabs>
              <w:jc w:val="both"/>
              <w:rPr>
                <w:iCs w:val="0"/>
                <w:sz w:val="18"/>
                <w:szCs w:val="18"/>
                <w:lang w:val="ro-MD"/>
              </w:rPr>
            </w:pPr>
            <w:r w:rsidRPr="00A96E09">
              <w:rPr>
                <w:i w:val="0"/>
                <w:sz w:val="18"/>
                <w:szCs w:val="18"/>
                <w:lang w:val="ro-MD"/>
              </w:rPr>
              <w:lastRenderedPageBreak/>
              <w:t>(5) Instituţiile notifică autorităţilor competente metodele prevăzute în secţiunea 4 sau 5 pe care le utilizează sau pe care încetează să le mai utilizeze, după caz, pentru a calcula valoarea expunerii pentru poziţiile lor pe instrumente financiare derivate.</w:t>
            </w:r>
          </w:p>
        </w:tc>
        <w:tc>
          <w:tcPr>
            <w:tcW w:w="4356" w:type="dxa"/>
          </w:tcPr>
          <w:p w14:paraId="6CCA167B" w14:textId="77777777" w:rsidR="00A60297" w:rsidRPr="008070DB" w:rsidRDefault="00A60297" w:rsidP="003456B0">
            <w:pPr>
              <w:pStyle w:val="CM4"/>
              <w:spacing w:before="60" w:after="60"/>
              <w:jc w:val="both"/>
              <w:rPr>
                <w:rFonts w:ascii="Times New Roman" w:hAnsi="Times New Roman"/>
                <w:color w:val="000000"/>
                <w:sz w:val="18"/>
                <w:szCs w:val="18"/>
                <w:lang w:val="ro-MD"/>
              </w:rPr>
            </w:pPr>
            <w:r w:rsidRPr="008070DB">
              <w:rPr>
                <w:rFonts w:ascii="Times New Roman" w:hAnsi="Times New Roman"/>
                <w:b/>
                <w:bCs/>
                <w:color w:val="000000"/>
                <w:sz w:val="18"/>
                <w:szCs w:val="18"/>
                <w:lang w:val="ro-MD"/>
              </w:rPr>
              <w:t>34.</w:t>
            </w:r>
            <w:r w:rsidRPr="008070DB">
              <w:rPr>
                <w:rFonts w:ascii="Times New Roman" w:hAnsi="Times New Roman"/>
                <w:color w:val="000000"/>
                <w:sz w:val="18"/>
                <w:szCs w:val="18"/>
                <w:lang w:val="ro-MD"/>
              </w:rPr>
              <w:t xml:space="preserve"> Băncile sub rezerva aprobării prealabile a Băncii Naționale a Moldovei aplică metodele prevăzute în capitolele IV sau V pe care le utilizează sau pe care încetează să le mai utilizeze, după caz, pentru a calcula valoarea expunerii pentru poziţiile lor pe instrumente financiare derivate. </w:t>
            </w:r>
          </w:p>
          <w:p w14:paraId="61554C97" w14:textId="77777777" w:rsidR="00A60297" w:rsidRPr="008070DB" w:rsidRDefault="00A60297" w:rsidP="003456B0">
            <w:pPr>
              <w:pStyle w:val="CM4"/>
              <w:spacing w:before="60" w:after="60"/>
              <w:jc w:val="both"/>
              <w:rPr>
                <w:rFonts w:ascii="Times New Roman" w:hAnsi="Times New Roman"/>
                <w:i/>
                <w:iCs/>
                <w:color w:val="000000"/>
                <w:sz w:val="18"/>
                <w:szCs w:val="18"/>
                <w:lang w:val="ro-MD"/>
              </w:rPr>
            </w:pPr>
          </w:p>
          <w:p w14:paraId="02861CD2" w14:textId="20681439" w:rsidR="00366868" w:rsidRPr="008070DB" w:rsidRDefault="00366868" w:rsidP="003456B0">
            <w:pPr>
              <w:jc w:val="both"/>
              <w:rPr>
                <w:sz w:val="18"/>
                <w:szCs w:val="18"/>
                <w:lang w:val="ro-MD" w:eastAsia="en-US"/>
              </w:rPr>
            </w:pPr>
            <w:r w:rsidRPr="008070DB">
              <w:rPr>
                <w:b/>
                <w:bCs/>
                <w:i/>
                <w:iCs/>
                <w:sz w:val="18"/>
                <w:szCs w:val="18"/>
                <w:lang w:val="ro-RO" w:eastAsia="ro-MD"/>
              </w:rPr>
              <w:t xml:space="preserve">Prevederi existente - </w:t>
            </w:r>
            <w:r w:rsidRPr="008070DB">
              <w:rPr>
                <w:i/>
                <w:iCs/>
                <w:sz w:val="18"/>
                <w:szCs w:val="18"/>
                <w:lang w:val="ro-RO" w:eastAsia="ro-MD"/>
              </w:rPr>
              <w:t>Regulamentul nr.220/2025</w:t>
            </w:r>
          </w:p>
        </w:tc>
        <w:tc>
          <w:tcPr>
            <w:tcW w:w="1554" w:type="dxa"/>
          </w:tcPr>
          <w:p w14:paraId="6E0C4BD9" w14:textId="4A4C59E1" w:rsidR="00A60297" w:rsidRPr="00A96E09" w:rsidRDefault="00A60297" w:rsidP="00A60297">
            <w:pPr>
              <w:jc w:val="both"/>
              <w:rPr>
                <w:sz w:val="18"/>
                <w:szCs w:val="18"/>
                <w:lang w:val="ro-MD"/>
              </w:rPr>
            </w:pPr>
            <w:r w:rsidRPr="00A96E09">
              <w:rPr>
                <w:sz w:val="18"/>
                <w:szCs w:val="18"/>
                <w:lang w:val="ro-MD"/>
              </w:rPr>
              <w:t>Parțial compatibil</w:t>
            </w:r>
          </w:p>
        </w:tc>
        <w:tc>
          <w:tcPr>
            <w:tcW w:w="4683" w:type="dxa"/>
            <w:tcBorders>
              <w:top w:val="single" w:sz="4" w:space="0" w:color="auto"/>
              <w:bottom w:val="single" w:sz="4" w:space="0" w:color="auto"/>
            </w:tcBorders>
          </w:tcPr>
          <w:p w14:paraId="68C6C070" w14:textId="01E3A194" w:rsidR="00A60297" w:rsidRPr="00A96E09" w:rsidRDefault="00C75FE5" w:rsidP="00A60297">
            <w:pPr>
              <w:jc w:val="both"/>
              <w:rPr>
                <w:sz w:val="18"/>
                <w:szCs w:val="18"/>
                <w:lang w:val="ro-MD"/>
              </w:rPr>
            </w:pPr>
            <w:r w:rsidRPr="00A96E09">
              <w:rPr>
                <w:sz w:val="18"/>
                <w:szCs w:val="18"/>
                <w:lang w:val="en-US"/>
              </w:rPr>
              <w:t xml:space="preserve">Legea nr. 202/2017 reglementează exclusiv procedura de „aprobarea prealabilă”, ceea ce justifică utilizarea acestui termen în actul național. Spre deosebire de „notificarea” prevăzută în actul european, care </w:t>
            </w:r>
            <w:proofErr w:type="gramStart"/>
            <w:r w:rsidRPr="00A96E09">
              <w:rPr>
                <w:sz w:val="18"/>
                <w:szCs w:val="18"/>
                <w:lang w:val="en-US"/>
              </w:rPr>
              <w:t>are</w:t>
            </w:r>
            <w:proofErr w:type="gramEnd"/>
            <w:r w:rsidRPr="00A96E09">
              <w:rPr>
                <w:sz w:val="18"/>
                <w:szCs w:val="18"/>
                <w:lang w:val="en-US"/>
              </w:rPr>
              <w:t xml:space="preserve"> un caracter declarativ, aprobarea prealabilă presupune obținerea unei autorizări efective înainte de inițierea activității. Această diferență reflectă specificul și cerințele cadrului legislativ intern, asigurând o aplicare riguroasă și conformă a normelor naționale în procesul de implementare a reglementărilor europene.</w:t>
            </w:r>
          </w:p>
        </w:tc>
      </w:tr>
      <w:tr w:rsidR="00A60297" w:rsidRPr="00A96E09" w14:paraId="5D2DB23B" w14:textId="77777777" w:rsidTr="00C14AF6">
        <w:trPr>
          <w:trHeight w:val="918"/>
        </w:trPr>
        <w:tc>
          <w:tcPr>
            <w:tcW w:w="3866" w:type="dxa"/>
          </w:tcPr>
          <w:p w14:paraId="179B0FFB" w14:textId="4B8C7EE5" w:rsidR="00A60297" w:rsidRPr="00A96E09" w:rsidRDefault="00A60297" w:rsidP="003456B0">
            <w:pPr>
              <w:pStyle w:val="title-article-norm"/>
              <w:tabs>
                <w:tab w:val="left" w:pos="188"/>
              </w:tabs>
              <w:jc w:val="both"/>
              <w:rPr>
                <w:iCs w:val="0"/>
                <w:sz w:val="18"/>
                <w:szCs w:val="18"/>
                <w:lang w:val="ro-MD"/>
              </w:rPr>
            </w:pPr>
            <w:r w:rsidRPr="00A96E09">
              <w:rPr>
                <w:i w:val="0"/>
                <w:sz w:val="18"/>
                <w:szCs w:val="18"/>
                <w:lang w:val="ro-MD"/>
              </w:rPr>
              <w:t>(6) Instituţiile nu deschid tranzacţii cu instrumente financiare derivate și nu cumpără sau vând instrumente financiare derivate cu unicul scop de a respecta oricare dintre condiţiile prevăzute la alineatele (1) și (2) în cursul evaluării lunare.</w:t>
            </w:r>
          </w:p>
        </w:tc>
        <w:tc>
          <w:tcPr>
            <w:tcW w:w="4356" w:type="dxa"/>
          </w:tcPr>
          <w:p w14:paraId="2978ADC3" w14:textId="5A42C12C" w:rsidR="00A60297" w:rsidRPr="008070DB" w:rsidRDefault="00A60297" w:rsidP="003456B0">
            <w:pPr>
              <w:tabs>
                <w:tab w:val="left" w:pos="272"/>
              </w:tabs>
              <w:jc w:val="both"/>
              <w:rPr>
                <w:sz w:val="18"/>
                <w:szCs w:val="18"/>
                <w:lang w:val="ro-MD"/>
              </w:rPr>
            </w:pPr>
            <w:r w:rsidRPr="008070DB">
              <w:rPr>
                <w:b/>
                <w:bCs/>
                <w:sz w:val="18"/>
                <w:szCs w:val="18"/>
                <w:lang w:val="ro-MD"/>
              </w:rPr>
              <w:t>35.</w:t>
            </w:r>
            <w:r w:rsidRPr="008070DB">
              <w:rPr>
                <w:sz w:val="18"/>
                <w:szCs w:val="18"/>
                <w:lang w:val="ro-MD"/>
              </w:rPr>
              <w:t xml:space="preserve"> Băncile nu inițiază tranzacţii cu instrumente financiare derivate și nu cumpără sau vând instrumente financiare derivate cu unicul scop de a respecta oricare dintre condiţiile prevăzute la punctele </w:t>
            </w:r>
            <w:r w:rsidR="00D43539">
              <w:rPr>
                <w:sz w:val="18"/>
                <w:szCs w:val="18"/>
                <w:lang w:val="ro-MD"/>
              </w:rPr>
              <w:t>20 și 21</w:t>
            </w:r>
            <w:r w:rsidRPr="008070DB">
              <w:rPr>
                <w:sz w:val="18"/>
                <w:szCs w:val="18"/>
                <w:lang w:val="ro-MD"/>
              </w:rPr>
              <w:t xml:space="preserve"> în cursul evaluării lunare.  </w:t>
            </w:r>
          </w:p>
          <w:p w14:paraId="32C0BC64" w14:textId="53DCA09A" w:rsidR="00A60297" w:rsidRPr="008070DB" w:rsidRDefault="00366868" w:rsidP="003456B0">
            <w:pPr>
              <w:pStyle w:val="CM4"/>
              <w:spacing w:before="60" w:after="60"/>
              <w:jc w:val="both"/>
              <w:rPr>
                <w:rFonts w:ascii="Times New Roman" w:hAnsi="Times New Roman"/>
                <w:color w:val="000000"/>
                <w:sz w:val="18"/>
                <w:szCs w:val="18"/>
                <w:lang w:val="ro-MD"/>
              </w:rPr>
            </w:pPr>
            <w:r w:rsidRPr="008070DB">
              <w:rPr>
                <w:rFonts w:ascii="Times New Roman" w:hAnsi="Times New Roman"/>
                <w:b/>
                <w:bCs/>
                <w:i/>
                <w:iCs/>
                <w:sz w:val="18"/>
                <w:szCs w:val="18"/>
                <w:lang w:val="ro-RO" w:eastAsia="ro-MD"/>
              </w:rPr>
              <w:t xml:space="preserve">Prevederi existente - </w:t>
            </w:r>
            <w:r w:rsidRPr="008070DB">
              <w:rPr>
                <w:rFonts w:ascii="Times New Roman" w:hAnsi="Times New Roman"/>
                <w:i/>
                <w:iCs/>
                <w:sz w:val="18"/>
                <w:szCs w:val="18"/>
                <w:lang w:val="ro-RO" w:eastAsia="ro-MD"/>
              </w:rPr>
              <w:t>Regulamentul nr.220/2025</w:t>
            </w:r>
          </w:p>
        </w:tc>
        <w:tc>
          <w:tcPr>
            <w:tcW w:w="1554" w:type="dxa"/>
          </w:tcPr>
          <w:p w14:paraId="2708289D" w14:textId="136CFDD5" w:rsidR="00A60297" w:rsidRPr="00A96E09" w:rsidRDefault="00A60297" w:rsidP="00A60297">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7F0AD22B" w14:textId="77777777" w:rsidR="00A60297" w:rsidRPr="00A96E09" w:rsidRDefault="00A60297" w:rsidP="00A60297">
            <w:pPr>
              <w:jc w:val="both"/>
              <w:rPr>
                <w:sz w:val="18"/>
                <w:szCs w:val="18"/>
                <w:lang w:val="ro-MD"/>
              </w:rPr>
            </w:pPr>
          </w:p>
        </w:tc>
      </w:tr>
      <w:tr w:rsidR="001A4DE8" w:rsidRPr="00A96E09" w14:paraId="4D3879EC" w14:textId="77777777" w:rsidTr="00C14AF6">
        <w:trPr>
          <w:trHeight w:val="918"/>
        </w:trPr>
        <w:tc>
          <w:tcPr>
            <w:tcW w:w="3866" w:type="dxa"/>
          </w:tcPr>
          <w:p w14:paraId="355B4695" w14:textId="5CD7F937" w:rsidR="001A4DE8" w:rsidRPr="00A96E09" w:rsidRDefault="001A4DE8" w:rsidP="003456B0">
            <w:pPr>
              <w:pStyle w:val="title-article-norm"/>
              <w:tabs>
                <w:tab w:val="left" w:pos="188"/>
              </w:tabs>
              <w:jc w:val="both"/>
              <w:rPr>
                <w:b/>
                <w:bCs/>
                <w:i w:val="0"/>
                <w:sz w:val="18"/>
                <w:szCs w:val="18"/>
                <w:lang w:val="ro-MD"/>
              </w:rPr>
            </w:pPr>
            <w:r w:rsidRPr="00A96E09">
              <w:rPr>
                <w:iCs w:val="0"/>
                <w:sz w:val="18"/>
                <w:szCs w:val="18"/>
                <w:lang w:val="ro-MD"/>
              </w:rPr>
              <w:t xml:space="preserve">Articolul 273b </w:t>
            </w:r>
            <w:r w:rsidRPr="00A96E09">
              <w:rPr>
                <w:b/>
                <w:bCs/>
                <w:i w:val="0"/>
                <w:sz w:val="18"/>
                <w:szCs w:val="18"/>
                <w:lang w:val="ro-MD"/>
              </w:rPr>
              <w:t>Nerespectarea condiţiilor pentru utilizarea metodelor simplificate de calculare a valorii expunerii pentru instrumentele financiare derivate</w:t>
            </w:r>
          </w:p>
          <w:p w14:paraId="09AF833F" w14:textId="77777777" w:rsidR="001A4DE8" w:rsidRPr="00A96E09" w:rsidRDefault="001A4DE8" w:rsidP="003456B0">
            <w:pPr>
              <w:pStyle w:val="title-article-norm"/>
              <w:tabs>
                <w:tab w:val="left" w:pos="188"/>
              </w:tabs>
              <w:jc w:val="both"/>
              <w:rPr>
                <w:i w:val="0"/>
                <w:sz w:val="18"/>
                <w:szCs w:val="18"/>
                <w:lang w:val="ro-MD"/>
              </w:rPr>
            </w:pPr>
            <w:r w:rsidRPr="00A96E09">
              <w:rPr>
                <w:i w:val="0"/>
                <w:sz w:val="18"/>
                <w:szCs w:val="18"/>
                <w:lang w:val="ro-MD"/>
              </w:rPr>
              <w:t>(1) O instituţie care nu mai îndeplinește una sau mai multe dintre condiţiile prevăzute la articolul 273a alineatul (1) sau (2) notifică imediat acest lucru autorităţii competente.</w:t>
            </w:r>
          </w:p>
          <w:p w14:paraId="2D4AB572" w14:textId="7948B328" w:rsidR="001A4DE8" w:rsidRPr="00A96E09" w:rsidRDefault="001A4DE8" w:rsidP="003456B0">
            <w:pPr>
              <w:pStyle w:val="title-article-norm"/>
              <w:tabs>
                <w:tab w:val="left" w:pos="188"/>
              </w:tabs>
              <w:jc w:val="both"/>
              <w:rPr>
                <w:i w:val="0"/>
                <w:sz w:val="18"/>
                <w:szCs w:val="18"/>
              </w:rPr>
            </w:pPr>
            <w:r w:rsidRPr="00A96E09">
              <w:rPr>
                <w:i w:val="0"/>
                <w:sz w:val="18"/>
                <w:szCs w:val="18"/>
                <w:lang w:val="ro-MD"/>
              </w:rPr>
              <w:t xml:space="preserve">(2) </w:t>
            </w:r>
            <w:r w:rsidR="00A02F2C" w:rsidRPr="00A96E09">
              <w:rPr>
                <w:i w:val="0"/>
                <w:sz w:val="18"/>
                <w:szCs w:val="18"/>
              </w:rPr>
              <w:t xml:space="preserve">Instituţiile încetează să calculeze valorile expunerilor pentru poziţiile lor pe instrumente financiare derivate în conformitate cu secţiunea 4 sau 5 și să calculeze cerinţelor de fonduri proprii pentru riscul CVA în conformitate cu articolul 385, </w:t>
            </w:r>
            <w:r w:rsidR="00A02F2C" w:rsidRPr="00A96E09">
              <w:rPr>
                <w:i w:val="0"/>
                <w:sz w:val="18"/>
                <w:szCs w:val="18"/>
              </w:rPr>
              <w:lastRenderedPageBreak/>
              <w:t>după caz, în termen de trei luni de la apariţia uneia dintre următoarele situaţii:</w:t>
            </w:r>
          </w:p>
          <w:p w14:paraId="261F9AAD" w14:textId="77777777" w:rsidR="001A4DE8" w:rsidRPr="00A96E09" w:rsidRDefault="001A4DE8" w:rsidP="003456B0">
            <w:pPr>
              <w:pStyle w:val="title-article-norm"/>
              <w:tabs>
                <w:tab w:val="left" w:pos="188"/>
              </w:tabs>
              <w:spacing w:before="0" w:after="0"/>
              <w:jc w:val="both"/>
              <w:rPr>
                <w:i w:val="0"/>
                <w:sz w:val="18"/>
                <w:szCs w:val="18"/>
                <w:lang w:val="ro-MD"/>
              </w:rPr>
            </w:pPr>
            <w:r w:rsidRPr="00A96E09">
              <w:rPr>
                <w:i w:val="0"/>
                <w:sz w:val="18"/>
                <w:szCs w:val="18"/>
                <w:lang w:val="ro-MD"/>
              </w:rPr>
              <w:t>(a) instituţia nu îndeplinește condiţiile stabilite la articolul 273a alineatul (1) litera (a) sau alineatul (2) litera (a), după caz, sau condiţiile stabilite la articolul 273a alineatul (1) litera (b) sau alineatul (2) litera (b), după caz, timp de trei luni consecutive;</w:t>
            </w:r>
          </w:p>
          <w:p w14:paraId="257DA488" w14:textId="77777777" w:rsidR="001A4DE8" w:rsidRPr="00A96E09" w:rsidRDefault="001A4DE8" w:rsidP="003456B0">
            <w:pPr>
              <w:pStyle w:val="title-article-norm"/>
              <w:tabs>
                <w:tab w:val="left" w:pos="188"/>
              </w:tabs>
              <w:spacing w:before="0" w:after="0"/>
              <w:jc w:val="both"/>
              <w:rPr>
                <w:i w:val="0"/>
                <w:sz w:val="18"/>
                <w:szCs w:val="18"/>
                <w:lang w:val="ro-MD"/>
              </w:rPr>
            </w:pPr>
            <w:r w:rsidRPr="00A96E09">
              <w:rPr>
                <w:i w:val="0"/>
                <w:sz w:val="18"/>
                <w:szCs w:val="18"/>
                <w:lang w:val="ro-MD"/>
              </w:rPr>
              <w:t>(b) instituţia nu îndeplinește condiţiile stabilite la articolul 273a alineatul (1) litera (a) sau alineatul (2) litera (a), după caz, sau condiţiile stabilite la articolul 273a alineatul (1) litera (b) sau alineatul (2) litera (b), după caz, timp de peste șase din cele12 luni precedente.</w:t>
            </w:r>
          </w:p>
          <w:p w14:paraId="44695A4E" w14:textId="4F1ABB4A" w:rsidR="001A4DE8" w:rsidRPr="00A96E09" w:rsidRDefault="001A4DE8" w:rsidP="003456B0">
            <w:pPr>
              <w:pStyle w:val="title-article-norm"/>
              <w:spacing w:before="0" w:after="0"/>
              <w:jc w:val="both"/>
              <w:rPr>
                <w:i w:val="0"/>
                <w:sz w:val="18"/>
                <w:szCs w:val="18"/>
                <w:lang w:val="ro-MD"/>
              </w:rPr>
            </w:pPr>
            <w:r w:rsidRPr="00A96E09">
              <w:rPr>
                <w:i w:val="0"/>
                <w:sz w:val="18"/>
                <w:szCs w:val="18"/>
                <w:lang w:val="ro-MD"/>
              </w:rPr>
              <w:t xml:space="preserve">(3) </w:t>
            </w:r>
            <w:r w:rsidR="002B7041" w:rsidRPr="00A96E09">
              <w:rPr>
                <w:i w:val="0"/>
                <w:sz w:val="18"/>
                <w:szCs w:val="18"/>
              </w:rPr>
              <w:t>Instituţiile care au încetat să calculeze valorile expunerilor pentru poziţiile lor pe instrumente financiare derivate în conformitate cu secţiunea 4 sau 5 și să calculeze cerinţelor de fonduri proprii pentru riscul CVA în conformitate cu articolul 385, după caz, pot reîncepe să calculeze valoarea expunerii pentru poziţiile lor pe instrumente financiare derivate, astfel cum se prevede în secţiunea 4 sau 5, și cerinţelor de fonduri proprii pentru riscul CVA în conformitate cu articolul 385 numai dacă demonstrează autorităţii competente că toate condiţiile prevăzute la articolul 273a alineatul (1) sau (2) au fost îndeplinite pentru o perioadă neîntreruptă de un an.</w:t>
            </w:r>
          </w:p>
        </w:tc>
        <w:tc>
          <w:tcPr>
            <w:tcW w:w="4356" w:type="dxa"/>
          </w:tcPr>
          <w:p w14:paraId="72373A78" w14:textId="77777777" w:rsidR="001A4DE8" w:rsidRPr="008070DB" w:rsidRDefault="001A4DE8" w:rsidP="003456B0">
            <w:pPr>
              <w:pStyle w:val="CM4"/>
              <w:spacing w:before="60" w:after="60"/>
              <w:jc w:val="both"/>
              <w:rPr>
                <w:rFonts w:ascii="Times New Roman" w:hAnsi="Times New Roman"/>
                <w:color w:val="000000"/>
                <w:sz w:val="18"/>
                <w:szCs w:val="18"/>
              </w:rPr>
            </w:pPr>
            <w:r w:rsidRPr="008070DB">
              <w:rPr>
                <w:rFonts w:ascii="Times New Roman" w:hAnsi="Times New Roman"/>
                <w:i/>
                <w:iCs/>
                <w:color w:val="000000"/>
                <w:sz w:val="18"/>
                <w:szCs w:val="18"/>
              </w:rPr>
              <w:lastRenderedPageBreak/>
              <w:t xml:space="preserve">Secțiunea a 4-a </w:t>
            </w:r>
          </w:p>
          <w:p w14:paraId="7F84185B" w14:textId="77777777" w:rsidR="00AE610C" w:rsidRPr="008070DB" w:rsidRDefault="00AE610C" w:rsidP="003456B0">
            <w:pPr>
              <w:jc w:val="both"/>
              <w:rPr>
                <w:b/>
                <w:bCs/>
                <w:sz w:val="18"/>
                <w:szCs w:val="18"/>
                <w:lang w:val="ro-MD" w:eastAsia="en-US"/>
              </w:rPr>
            </w:pPr>
            <w:r w:rsidRPr="008070DB">
              <w:rPr>
                <w:b/>
                <w:bCs/>
                <w:sz w:val="18"/>
                <w:szCs w:val="18"/>
                <w:lang w:val="ro-MD" w:eastAsia="en-US"/>
              </w:rPr>
              <w:t>Nerespectarea condiţiilor pentru utilizarea metodelor simplificate de calculare a valorii expunerii pentru instrumentele financiare derivate și a abordării simplificate pentru calcularea cerinţelor de fonduri proprii pentru riscul CVA</w:t>
            </w:r>
          </w:p>
          <w:p w14:paraId="141ECD40" w14:textId="1DC01748" w:rsidR="002A1BE9" w:rsidRPr="008070DB" w:rsidRDefault="002A1BE9"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36.</w:t>
            </w:r>
            <w:r w:rsidRPr="008070DB">
              <w:rPr>
                <w:rFonts w:ascii="Times New Roman" w:hAnsi="Times New Roman" w:cs="Times New Roman"/>
                <w:sz w:val="18"/>
                <w:szCs w:val="18"/>
                <w:lang w:val="ro-MD"/>
              </w:rPr>
              <w:tab/>
              <w:t>Banca care nu mai îndeplinește una sau mai multe dintre condiţiile prevăzute la punctul 20 sau 21 informează imediat, dar nu mai târziu de 2 zile lucrătoare</w:t>
            </w:r>
            <w:r w:rsidR="000A7685" w:rsidRPr="008070DB">
              <w:rPr>
                <w:rFonts w:ascii="Times New Roman" w:hAnsi="Times New Roman" w:cs="Times New Roman"/>
                <w:sz w:val="18"/>
                <w:szCs w:val="18"/>
                <w:lang w:val="ro-MD"/>
              </w:rPr>
              <w:t>,</w:t>
            </w:r>
            <w:r w:rsidRPr="008070DB">
              <w:rPr>
                <w:rFonts w:ascii="Times New Roman" w:hAnsi="Times New Roman" w:cs="Times New Roman"/>
                <w:sz w:val="18"/>
                <w:szCs w:val="18"/>
                <w:lang w:val="ro-MD"/>
              </w:rPr>
              <w:t xml:space="preserve"> acest lucru Băncii Naționale a Moldovei. </w:t>
            </w:r>
          </w:p>
          <w:p w14:paraId="7CB4BACE" w14:textId="77777777" w:rsidR="002A1BE9" w:rsidRPr="008070DB" w:rsidRDefault="002A1BE9"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37.</w:t>
            </w:r>
            <w:r w:rsidRPr="008070DB">
              <w:rPr>
                <w:rFonts w:ascii="Times New Roman" w:hAnsi="Times New Roman" w:cs="Times New Roman"/>
                <w:sz w:val="18"/>
                <w:szCs w:val="18"/>
                <w:lang w:val="ro-MD"/>
              </w:rPr>
              <w:tab/>
              <w:t xml:space="preserve">Banca încetează să calculeze valorile expunerilor pentru poziţiile sale pe instrumente financiare derivate în conformitate cu capitolele IV sau V și cerinţele de fonduri proprii pentru riscul CVA în conformitate cu abordarea simplificată din Regulamentul cu privire la tratamentul riscului de ajustare a evaluării creditului pentru bănci, după caz, în termen de trei luni de la apariţia uneia dintre următoarele situaţii: </w:t>
            </w:r>
          </w:p>
          <w:p w14:paraId="3C6F77A2" w14:textId="77777777" w:rsidR="002A1BE9" w:rsidRPr="008070DB" w:rsidRDefault="002A1BE9"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lastRenderedPageBreak/>
              <w:t>37.1.</w:t>
            </w:r>
            <w:r w:rsidRPr="008070DB">
              <w:rPr>
                <w:rFonts w:ascii="Times New Roman" w:hAnsi="Times New Roman" w:cs="Times New Roman"/>
                <w:sz w:val="18"/>
                <w:szCs w:val="18"/>
                <w:lang w:val="ro-MD"/>
              </w:rPr>
              <w:tab/>
              <w:t xml:space="preserve">banca nu îndeplinește condiţiile stabilite la punctul 20 subpunctul 20.1. sau punctul 21 subpunctul 21.1., după caz, sau condiţiile stabilite la punctul 20 subpunctul 20.2. sau punctul 21 subpunctul 21.2., după caz, timp de trei luni consecutive; </w:t>
            </w:r>
          </w:p>
          <w:p w14:paraId="1B4D5300" w14:textId="77777777" w:rsidR="002A1BE9" w:rsidRPr="008070DB" w:rsidRDefault="002A1BE9"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37.2.</w:t>
            </w:r>
            <w:r w:rsidRPr="008070DB">
              <w:rPr>
                <w:rFonts w:ascii="Times New Roman" w:hAnsi="Times New Roman" w:cs="Times New Roman"/>
                <w:sz w:val="18"/>
                <w:szCs w:val="18"/>
                <w:lang w:val="ro-MD"/>
              </w:rPr>
              <w:tab/>
              <w:t xml:space="preserve">banca nu îndeplinește condiţiile stabilite la punctul 20 subpunctul 20.1 sau punctul 21 subpunctul 21.1, după caz, sau condiţiile stabilite la punctul 20 subpunctul 20.2 sau punctul 21 subpunctul 21.2, după caz, timp de peste 6 din cele 12 luni precedente. </w:t>
            </w:r>
          </w:p>
          <w:p w14:paraId="69D06662" w14:textId="77777777" w:rsidR="001A4DE8" w:rsidRPr="008070DB" w:rsidRDefault="002A1BE9"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38.</w:t>
            </w:r>
            <w:r w:rsidRPr="008070DB">
              <w:rPr>
                <w:rFonts w:ascii="Times New Roman" w:hAnsi="Times New Roman" w:cs="Times New Roman"/>
                <w:sz w:val="18"/>
                <w:szCs w:val="18"/>
                <w:lang w:val="ro-MD"/>
              </w:rPr>
              <w:tab/>
              <w:t>În cazul în care banca a încetat să calculeze valorile expunerilor pentru poziţiile sale pe instrumente financiare derivate în conformitate cu capitolele IV sau V, după caz, acesteia i se permite să își calculeze din nou valorile expunerii pentru poziţiile pe instrumente financiare derivate astfel cum este prevăzut în capitolele IV sau V și cerinţele de fonduri proprii pentru riscul CVA în conformitate cu abordarea simplificată din Regulamentul cu privire la tratamentul riscului de ajustare a evaluării creditului pentru bănci numai dacă demonstrează Băncii Naționale a Moldovei că toate condiţiile prevăzute la punctul 20 sau 21 au fost îndeplinite pentru o perioadă neîntreruptă de un an.</w:t>
            </w:r>
          </w:p>
          <w:p w14:paraId="18310FE2" w14:textId="77777777" w:rsidR="00366868" w:rsidRPr="008070DB" w:rsidRDefault="00366868" w:rsidP="003456B0">
            <w:pPr>
              <w:pStyle w:val="NoSpacing"/>
              <w:tabs>
                <w:tab w:val="left" w:pos="328"/>
              </w:tabs>
              <w:jc w:val="both"/>
              <w:rPr>
                <w:rFonts w:ascii="Times New Roman" w:hAnsi="Times New Roman" w:cs="Times New Roman"/>
                <w:sz w:val="18"/>
                <w:szCs w:val="18"/>
                <w:lang w:val="ro-MD"/>
              </w:rPr>
            </w:pPr>
          </w:p>
          <w:p w14:paraId="4F788D6A" w14:textId="77777777" w:rsidR="00366868" w:rsidRPr="008070DB" w:rsidRDefault="00366868" w:rsidP="003456B0">
            <w:pPr>
              <w:pStyle w:val="NoSpacing"/>
              <w:tabs>
                <w:tab w:val="left" w:pos="328"/>
              </w:tabs>
              <w:jc w:val="both"/>
              <w:rPr>
                <w:rFonts w:ascii="Times New Roman" w:hAnsi="Times New Roman" w:cs="Times New Roman"/>
                <w:sz w:val="18"/>
                <w:szCs w:val="18"/>
                <w:lang w:val="ro-MD"/>
              </w:rPr>
            </w:pPr>
          </w:p>
          <w:p w14:paraId="18BA325D" w14:textId="2591EE03" w:rsidR="00366868" w:rsidRPr="008070DB" w:rsidRDefault="00366868"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3A2ACCF6" w14:textId="602A69A2"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55DD85EA" w14:textId="77777777" w:rsidR="001A4DE8" w:rsidRPr="00A96E09" w:rsidRDefault="001A4DE8" w:rsidP="00C14AF6">
            <w:pPr>
              <w:jc w:val="both"/>
              <w:rPr>
                <w:sz w:val="18"/>
                <w:szCs w:val="18"/>
                <w:lang w:val="ro-MD"/>
              </w:rPr>
            </w:pPr>
          </w:p>
        </w:tc>
      </w:tr>
      <w:tr w:rsidR="001A4DE8" w:rsidRPr="00E57BBB" w14:paraId="05501664" w14:textId="77777777" w:rsidTr="00C14AF6">
        <w:trPr>
          <w:trHeight w:val="918"/>
        </w:trPr>
        <w:tc>
          <w:tcPr>
            <w:tcW w:w="3866" w:type="dxa"/>
          </w:tcPr>
          <w:p w14:paraId="70B2D089" w14:textId="77777777" w:rsidR="001A4DE8" w:rsidRPr="00A96E09" w:rsidRDefault="001A4DE8" w:rsidP="003456B0">
            <w:pPr>
              <w:pStyle w:val="title-article-norm"/>
              <w:jc w:val="both"/>
              <w:rPr>
                <w:i w:val="0"/>
                <w:sz w:val="18"/>
                <w:szCs w:val="18"/>
                <w:lang w:val="ro-MD"/>
              </w:rPr>
            </w:pPr>
            <w:r w:rsidRPr="00A96E09">
              <w:rPr>
                <w:i w:val="0"/>
                <w:sz w:val="18"/>
                <w:szCs w:val="18"/>
                <w:lang w:val="ro-MD"/>
              </w:rPr>
              <w:t>Secțiunea 3</w:t>
            </w:r>
          </w:p>
          <w:p w14:paraId="16F70398" w14:textId="77777777" w:rsidR="001A4DE8" w:rsidRPr="00A96E09" w:rsidRDefault="001A4DE8" w:rsidP="003456B0">
            <w:pPr>
              <w:pStyle w:val="title-article-norm"/>
              <w:jc w:val="both"/>
              <w:rPr>
                <w:b/>
                <w:bCs/>
                <w:i w:val="0"/>
                <w:sz w:val="18"/>
                <w:szCs w:val="18"/>
                <w:lang w:val="ro-MD"/>
              </w:rPr>
            </w:pPr>
            <w:r w:rsidRPr="00A96E09">
              <w:rPr>
                <w:b/>
                <w:bCs/>
                <w:i w:val="0"/>
                <w:sz w:val="18"/>
                <w:szCs w:val="18"/>
                <w:lang w:val="ro-MD"/>
              </w:rPr>
              <w:t>Abordarea standardizată pentru riscul de credit al contrapărții</w:t>
            </w:r>
          </w:p>
          <w:p w14:paraId="1D51A062" w14:textId="77777777" w:rsidR="001A4DE8" w:rsidRPr="00A96E09" w:rsidRDefault="001A4DE8" w:rsidP="003456B0">
            <w:pPr>
              <w:spacing w:before="200" w:after="200"/>
              <w:jc w:val="both"/>
              <w:rPr>
                <w:rFonts w:eastAsiaTheme="minorHAnsi"/>
                <w:color w:val="000000"/>
                <w:sz w:val="18"/>
                <w:szCs w:val="18"/>
                <w:lang w:val="ro-MD" w:eastAsia="en-US"/>
              </w:rPr>
            </w:pPr>
            <w:r w:rsidRPr="00A96E09">
              <w:rPr>
                <w:i/>
                <w:iCs/>
                <w:sz w:val="18"/>
                <w:szCs w:val="18"/>
                <w:lang w:val="ro-MD"/>
              </w:rPr>
              <w:t>Articolul 274</w:t>
            </w:r>
            <w:r w:rsidRPr="00A96E09">
              <w:rPr>
                <w:sz w:val="18"/>
                <w:szCs w:val="18"/>
                <w:lang w:val="ro-MD"/>
              </w:rPr>
              <w:t xml:space="preserve"> </w:t>
            </w:r>
            <w:r w:rsidRPr="00A96E09">
              <w:rPr>
                <w:rFonts w:eastAsiaTheme="minorHAnsi"/>
                <w:b/>
                <w:bCs/>
                <w:color w:val="000000"/>
                <w:sz w:val="18"/>
                <w:szCs w:val="18"/>
                <w:lang w:val="ro-MD" w:eastAsia="en-US"/>
              </w:rPr>
              <w:t xml:space="preserve">Valoarea expunerii </w:t>
            </w:r>
          </w:p>
          <w:p w14:paraId="5F8291FD" w14:textId="77777777" w:rsidR="001A4DE8" w:rsidRPr="00A96E09" w:rsidRDefault="001A4DE8" w:rsidP="003456B0">
            <w:pPr>
              <w:pStyle w:val="title-article-norm"/>
              <w:numPr>
                <w:ilvl w:val="0"/>
                <w:numId w:val="10"/>
              </w:numPr>
              <w:ind w:left="0"/>
              <w:jc w:val="both"/>
              <w:rPr>
                <w:i w:val="0"/>
                <w:sz w:val="18"/>
                <w:szCs w:val="18"/>
                <w:lang w:val="ro-MD"/>
              </w:rPr>
            </w:pPr>
            <w:r w:rsidRPr="00A96E09">
              <w:rPr>
                <w:rFonts w:eastAsiaTheme="minorHAnsi"/>
                <w:i w:val="0"/>
                <w:iCs w:val="0"/>
                <w:color w:val="000000"/>
                <w:sz w:val="18"/>
                <w:szCs w:val="18"/>
                <w:lang w:val="ro-MD"/>
              </w:rPr>
              <w:t xml:space="preserve">(1) O instituţie poate calcula o singură valoare a expunerii la nivelul setului de compensare pentru toate tranzacţiile care fac obiectul unui acord de </w:t>
            </w:r>
            <w:r w:rsidRPr="00A96E09">
              <w:rPr>
                <w:rFonts w:eastAsiaTheme="minorHAnsi"/>
                <w:i w:val="0"/>
                <w:iCs w:val="0"/>
                <w:color w:val="000000"/>
                <w:sz w:val="18"/>
                <w:szCs w:val="18"/>
                <w:lang w:val="ro-MD"/>
              </w:rPr>
              <w:lastRenderedPageBreak/>
              <w:t>compensare contractuală în cazul în care sunt îndeplinite cumulativ următoarele condiţii:</w:t>
            </w:r>
          </w:p>
          <w:p w14:paraId="2F276E34"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(a) acordul de compensare face parte dintr-unul dintre tipurile de acorduri de compensare contractuală menţionate la articolul 295; </w:t>
            </w:r>
          </w:p>
          <w:p w14:paraId="16BB8BD2" w14:textId="77777777" w:rsidR="001A4DE8" w:rsidRPr="00A96E09" w:rsidRDefault="001A4DE8" w:rsidP="003456B0">
            <w:pPr>
              <w:pStyle w:val="title-article-norm"/>
              <w:jc w:val="both"/>
              <w:rPr>
                <w:i w:val="0"/>
                <w:sz w:val="18"/>
                <w:szCs w:val="18"/>
                <w:lang w:val="ro-MD"/>
              </w:rPr>
            </w:pPr>
            <w:r w:rsidRPr="00A96E09">
              <w:rPr>
                <w:i w:val="0"/>
                <w:sz w:val="18"/>
                <w:szCs w:val="18"/>
                <w:lang w:val="ro-MD"/>
              </w:rPr>
              <w:t>(b) acordul de compensare a fost recunoscut de autorităţile competente în conformitate cu articolul 296;</w:t>
            </w:r>
          </w:p>
          <w:p w14:paraId="33EFC358" w14:textId="77777777" w:rsidR="001A4DE8" w:rsidRPr="00A96E09" w:rsidRDefault="001A4DE8" w:rsidP="003456B0">
            <w:pPr>
              <w:pStyle w:val="title-article-norm"/>
              <w:jc w:val="both"/>
              <w:rPr>
                <w:i w:val="0"/>
                <w:sz w:val="18"/>
                <w:szCs w:val="18"/>
                <w:lang w:val="ro-MD"/>
              </w:rPr>
            </w:pPr>
            <w:r w:rsidRPr="00A96E09">
              <w:rPr>
                <w:i w:val="0"/>
                <w:sz w:val="18"/>
                <w:szCs w:val="18"/>
                <w:lang w:val="ro-MD"/>
              </w:rPr>
              <w:t>(c) instituţia și-a îndeplinit obligaţiile prevăzute la articolul 297 în ceea ce privește acordul de compensare.</w:t>
            </w:r>
          </w:p>
          <w:p w14:paraId="1025C876" w14:textId="77777777" w:rsidR="001A4DE8" w:rsidRPr="00A96E09" w:rsidRDefault="001A4DE8" w:rsidP="003456B0">
            <w:pPr>
              <w:pStyle w:val="title-article-norm"/>
              <w:jc w:val="both"/>
              <w:rPr>
                <w:i w:val="0"/>
                <w:sz w:val="18"/>
                <w:szCs w:val="18"/>
                <w:lang w:val="ro-MD"/>
              </w:rPr>
            </w:pPr>
            <w:r w:rsidRPr="00A96E09">
              <w:rPr>
                <w:i w:val="0"/>
                <w:sz w:val="18"/>
                <w:szCs w:val="18"/>
                <w:lang w:val="ro-MD"/>
              </w:rPr>
              <w:t>În cazul în care oricare dintre condiţiile prevăzute la primul paragraf nu este îndeplinită, instituţia tratează fiecare tranzacţie ca și cum ar fi propriul său set de compensare.</w:t>
            </w:r>
          </w:p>
          <w:p w14:paraId="148800E8" w14:textId="77777777" w:rsidR="001A4DE8" w:rsidRPr="00A96E09" w:rsidRDefault="001A4DE8" w:rsidP="003456B0">
            <w:pPr>
              <w:pStyle w:val="title-article-norm"/>
              <w:jc w:val="both"/>
              <w:rPr>
                <w:i w:val="0"/>
                <w:sz w:val="18"/>
                <w:szCs w:val="18"/>
                <w:lang w:val="ro-MD"/>
              </w:rPr>
            </w:pPr>
            <w:r w:rsidRPr="00A96E09">
              <w:rPr>
                <w:i w:val="0"/>
                <w:sz w:val="18"/>
                <w:szCs w:val="18"/>
                <w:lang w:val="ro-MD"/>
              </w:rPr>
              <w:t>(2) Instituţiile calculează valoarea expunerii unui set de compensare conform abordării standardizate pentru riscul de credit al contrapărţii după cum urmează:</w:t>
            </w:r>
          </w:p>
          <w:p w14:paraId="409773F0" w14:textId="77777777" w:rsidR="001A4DE8" w:rsidRPr="00A96E09" w:rsidRDefault="001A4DE8" w:rsidP="003456B0">
            <w:pPr>
              <w:pStyle w:val="title-article-norm"/>
              <w:jc w:val="both"/>
              <w:rPr>
                <w:i w:val="0"/>
                <w:sz w:val="18"/>
                <w:szCs w:val="18"/>
                <w:lang w:val="ro-MD"/>
              </w:rPr>
            </w:pPr>
            <w:r w:rsidRPr="00A96E09">
              <w:rPr>
                <w:i w:val="0"/>
                <w:sz w:val="18"/>
                <w:szCs w:val="18"/>
                <w:lang w:val="ro-MD"/>
              </w:rPr>
              <w:t>Valoarea expunerii = α · (RC + PFE)</w:t>
            </w:r>
          </w:p>
          <w:p w14:paraId="0D4785BF" w14:textId="77777777" w:rsidR="001A4DE8" w:rsidRPr="00A96E09" w:rsidRDefault="001A4DE8" w:rsidP="003456B0">
            <w:pPr>
              <w:pStyle w:val="title-article-norm"/>
              <w:jc w:val="both"/>
              <w:rPr>
                <w:i w:val="0"/>
                <w:sz w:val="18"/>
                <w:szCs w:val="18"/>
                <w:lang w:val="ro-MD"/>
              </w:rPr>
            </w:pPr>
            <w:r w:rsidRPr="00A96E09">
              <w:rPr>
                <w:i w:val="0"/>
                <w:sz w:val="18"/>
                <w:szCs w:val="18"/>
                <w:lang w:val="ro-MD"/>
              </w:rPr>
              <w:t>unde:</w:t>
            </w:r>
          </w:p>
          <w:p w14:paraId="0BE2B5C6" w14:textId="77777777" w:rsidR="001A4DE8" w:rsidRPr="00A96E09" w:rsidRDefault="001A4DE8" w:rsidP="003456B0">
            <w:pPr>
              <w:pStyle w:val="title-article-norm"/>
              <w:jc w:val="both"/>
              <w:rPr>
                <w:i w:val="0"/>
                <w:sz w:val="18"/>
                <w:szCs w:val="18"/>
                <w:lang w:val="ro-MD"/>
              </w:rPr>
            </w:pPr>
            <w:r w:rsidRPr="00A96E09">
              <w:rPr>
                <w:i w:val="0"/>
                <w:sz w:val="18"/>
                <w:szCs w:val="18"/>
                <w:lang w:val="ro-MD"/>
              </w:rPr>
              <w:t>RC = costul de înlocuire, calculat în conformitate cu articolul 275; și</w:t>
            </w:r>
          </w:p>
          <w:p w14:paraId="1364280D" w14:textId="77777777" w:rsidR="001A4DE8" w:rsidRPr="00A96E09" w:rsidRDefault="001A4DE8" w:rsidP="003456B0">
            <w:pPr>
              <w:pStyle w:val="title-article-norm"/>
              <w:jc w:val="both"/>
              <w:rPr>
                <w:i w:val="0"/>
                <w:sz w:val="18"/>
                <w:szCs w:val="18"/>
                <w:lang w:val="ro-MD"/>
              </w:rPr>
            </w:pPr>
            <w:r w:rsidRPr="00A96E09">
              <w:rPr>
                <w:i w:val="0"/>
                <w:sz w:val="18"/>
                <w:szCs w:val="18"/>
                <w:lang w:val="ro-MD"/>
              </w:rPr>
              <w:t>PFE = expunerea viitoare potenţială calculată în conformitate cu articolul 278;</w:t>
            </w:r>
          </w:p>
          <w:p w14:paraId="04613A44" w14:textId="77777777" w:rsidR="001A4DE8" w:rsidRPr="00A96E09" w:rsidRDefault="001A4DE8" w:rsidP="003456B0">
            <w:pPr>
              <w:pStyle w:val="title-article-norm"/>
              <w:jc w:val="both"/>
              <w:rPr>
                <w:i w:val="0"/>
                <w:sz w:val="18"/>
                <w:szCs w:val="18"/>
                <w:lang w:val="ro-MD"/>
              </w:rPr>
            </w:pPr>
            <w:r w:rsidRPr="00A96E09">
              <w:rPr>
                <w:i w:val="0"/>
                <w:sz w:val="18"/>
                <w:szCs w:val="18"/>
                <w:lang w:val="ro-MD"/>
              </w:rPr>
              <w:t>α = 1,4.</w:t>
            </w:r>
          </w:p>
          <w:p w14:paraId="2104F761" w14:textId="77777777" w:rsidR="001A4DE8" w:rsidRPr="00A96E09" w:rsidRDefault="001A4DE8" w:rsidP="003456B0">
            <w:pPr>
              <w:pStyle w:val="title-article-norm"/>
              <w:jc w:val="both"/>
              <w:rPr>
                <w:i w:val="0"/>
                <w:sz w:val="18"/>
                <w:szCs w:val="18"/>
                <w:lang w:val="ro-MD"/>
              </w:rPr>
            </w:pPr>
            <w:r w:rsidRPr="00A96E09">
              <w:rPr>
                <w:i w:val="0"/>
                <w:sz w:val="18"/>
                <w:szCs w:val="18"/>
                <w:lang w:val="ro-MD"/>
              </w:rPr>
              <w:lastRenderedPageBreak/>
              <w:t>(3) Valoarea expunerii unui set de compensare care face obiectul unui contract în marjă este plafonată la nivelul valorii expunerii aceluiași set de compensare în cazul în care nu ar face obiectul niciunei forme de contract în marjă.</w:t>
            </w:r>
          </w:p>
          <w:p w14:paraId="0095A968" w14:textId="77777777" w:rsidR="00AA7EC6" w:rsidRPr="00A96E09" w:rsidRDefault="00AA7EC6" w:rsidP="003456B0">
            <w:pPr>
              <w:pStyle w:val="title-article-norm"/>
              <w:spacing w:before="0"/>
              <w:jc w:val="both"/>
              <w:rPr>
                <w:i w:val="0"/>
                <w:sz w:val="18"/>
                <w:szCs w:val="18"/>
                <w:lang w:val="ro-MD"/>
              </w:rPr>
            </w:pPr>
            <w:r w:rsidRPr="00A96E09">
              <w:rPr>
                <w:i w:val="0"/>
                <w:sz w:val="18"/>
                <w:szCs w:val="18"/>
                <w:lang w:val="ro-MD"/>
              </w:rPr>
              <w:t>(4)   În cazul în care unui set de compensare i se aplică mai multe contracte în marjă sau în cazul în care același set de compensare include atât tranzacții care fac obiectul unui contract în marjă, cât și tranzacții care nu fac obiectul unui contract în marjă, o instituție își calculează valoarea expunerii după cum urmează:</w:t>
            </w:r>
          </w:p>
          <w:p w14:paraId="2EF048E1" w14:textId="0894D4A1" w:rsidR="00AA7EC6" w:rsidRPr="00643550" w:rsidRDefault="00AA7EC6" w:rsidP="003456B0">
            <w:pPr>
              <w:pStyle w:val="title-article-norm"/>
              <w:spacing w:before="0"/>
              <w:jc w:val="both"/>
              <w:rPr>
                <w:i w:val="0"/>
                <w:sz w:val="18"/>
                <w:szCs w:val="18"/>
                <w:highlight w:val="yellow"/>
                <w:lang w:val="ro-MD"/>
              </w:rPr>
            </w:pPr>
            <w:bookmarkStart w:id="12" w:name="_Hlk214356763"/>
            <w:r w:rsidRPr="00643550">
              <w:rPr>
                <w:i w:val="0"/>
                <w:sz w:val="18"/>
                <w:szCs w:val="18"/>
                <w:highlight w:val="yellow"/>
                <w:lang w:val="ro-MD"/>
              </w:rPr>
              <w:t>(a) instituția stabilește subseturile ipotetice de compensare în cauză, compuse din tranzacțiile incluse în setul de compensare, după cum urmează:</w:t>
            </w:r>
          </w:p>
          <w:p w14:paraId="33097D5E" w14:textId="50ADC801" w:rsidR="00AA7EC6" w:rsidRPr="00643550" w:rsidRDefault="00AA7EC6" w:rsidP="003456B0">
            <w:pPr>
              <w:pStyle w:val="title-article-norm"/>
              <w:spacing w:before="0"/>
              <w:jc w:val="both"/>
              <w:rPr>
                <w:i w:val="0"/>
                <w:sz w:val="18"/>
                <w:szCs w:val="18"/>
                <w:highlight w:val="yellow"/>
                <w:lang w:val="ro-MD"/>
              </w:rPr>
            </w:pPr>
            <w:r w:rsidRPr="00643550">
              <w:rPr>
                <w:i w:val="0"/>
                <w:sz w:val="18"/>
                <w:szCs w:val="18"/>
                <w:highlight w:val="yellow"/>
                <w:lang w:val="ro-MD"/>
              </w:rPr>
              <w:t>(i) toate tranzacțiile care fac obiectul unui contract în marjă și cărora li se aplică aceeași perioadă de risc de marjă determinată în conformitate cu articolul 285 alineatele (2)-(5) se alocă aceluiași subset de compensare;</w:t>
            </w:r>
          </w:p>
          <w:p w14:paraId="4A69243C" w14:textId="1061B03D" w:rsidR="00AA7EC6" w:rsidRPr="00A96E09" w:rsidRDefault="00AA7EC6" w:rsidP="003456B0">
            <w:pPr>
              <w:pStyle w:val="title-article-norm"/>
              <w:spacing w:before="0"/>
              <w:jc w:val="both"/>
              <w:rPr>
                <w:i w:val="0"/>
                <w:sz w:val="18"/>
                <w:szCs w:val="18"/>
                <w:lang w:val="ro-MD"/>
              </w:rPr>
            </w:pPr>
            <w:r w:rsidRPr="00643550">
              <w:rPr>
                <w:i w:val="0"/>
                <w:sz w:val="18"/>
                <w:szCs w:val="18"/>
                <w:highlight w:val="yellow"/>
                <w:lang w:val="ro-MD"/>
              </w:rPr>
              <w:t>(ii) toate tranzacțiile care nu fac obiectul unui contract în marjă se alocă aceluiași subset de compensare, care este distinct de subseturile de compensare stabilite în conformitate cu punctul (i) de la prezentul alineat;</w:t>
            </w:r>
          </w:p>
          <w:bookmarkEnd w:id="12"/>
          <w:p w14:paraId="1D684069" w14:textId="0EB2CEC2" w:rsidR="00AA7EC6" w:rsidRPr="00A96E09" w:rsidRDefault="00AA7EC6" w:rsidP="003456B0">
            <w:pPr>
              <w:pStyle w:val="title-article-norm"/>
              <w:spacing w:before="0"/>
              <w:jc w:val="both"/>
              <w:rPr>
                <w:i w:val="0"/>
                <w:sz w:val="18"/>
                <w:szCs w:val="18"/>
                <w:lang w:val="ro-MD"/>
              </w:rPr>
            </w:pPr>
            <w:r w:rsidRPr="00A96E09">
              <w:rPr>
                <w:i w:val="0"/>
                <w:sz w:val="18"/>
                <w:szCs w:val="18"/>
                <w:lang w:val="ro-MD"/>
              </w:rPr>
              <w:t>(b) instituția calculează costul de înlocuire al setului de compensare în conformitate cu articolul 275 alineatul (2), luând în considerare toate tranzacțiile din cadrul setului de compensare, indiferent dacă fac sau nu obiectul unui contract în marjă, și aplică toate cerințele următoare:</w:t>
            </w:r>
          </w:p>
          <w:p w14:paraId="36F1AE6A" w14:textId="344D3D0C" w:rsidR="00AA7EC6" w:rsidRPr="00A96E09" w:rsidRDefault="00AA7EC6" w:rsidP="003456B0">
            <w:pPr>
              <w:pStyle w:val="title-article-norm"/>
              <w:spacing w:before="0"/>
              <w:jc w:val="both"/>
              <w:rPr>
                <w:i w:val="0"/>
                <w:sz w:val="18"/>
                <w:szCs w:val="18"/>
                <w:lang w:val="ro-MD"/>
              </w:rPr>
            </w:pPr>
            <w:r w:rsidRPr="00A96E09">
              <w:rPr>
                <w:i w:val="0"/>
                <w:sz w:val="18"/>
                <w:szCs w:val="18"/>
                <w:lang w:val="ro-MD"/>
              </w:rPr>
              <w:t>(i) CMV se calculează pentru toate tranzacțiile din cadrul unui set de compensare, înainte de a deduce orice garanție reală deținută sau furnizată, în cazul în care valorile de piață pozitive și negative sunt compensate la calcularea CMV;</w:t>
            </w:r>
          </w:p>
          <w:p w14:paraId="223CC406" w14:textId="1425AFBB" w:rsidR="00AA7EC6" w:rsidRPr="00A96E09" w:rsidRDefault="00AA7EC6" w:rsidP="003456B0">
            <w:pPr>
              <w:pStyle w:val="title-article-norm"/>
              <w:spacing w:before="0"/>
              <w:jc w:val="both"/>
              <w:rPr>
                <w:i w:val="0"/>
                <w:sz w:val="18"/>
                <w:szCs w:val="18"/>
                <w:lang w:val="ro-MD"/>
              </w:rPr>
            </w:pPr>
            <w:r w:rsidRPr="00A96E09">
              <w:rPr>
                <w:i w:val="0"/>
                <w:sz w:val="18"/>
                <w:szCs w:val="18"/>
                <w:lang w:val="ro-MD"/>
              </w:rPr>
              <w:lastRenderedPageBreak/>
              <w:t>(ii) NICA, VM, TH și MTA, după caz, se calculează separat ca sumă a acelorași date de intrare aplicabile fiecărui contract în marjă individual din setul de compensare;</w:t>
            </w:r>
          </w:p>
          <w:p w14:paraId="53F03425" w14:textId="322ABB56" w:rsidR="00AA7EC6" w:rsidRPr="00A96E09" w:rsidRDefault="00AA7EC6" w:rsidP="003456B0">
            <w:pPr>
              <w:pStyle w:val="title-article-norm"/>
              <w:spacing w:before="0"/>
              <w:jc w:val="both"/>
              <w:rPr>
                <w:i w:val="0"/>
                <w:sz w:val="18"/>
                <w:szCs w:val="18"/>
                <w:lang w:val="ro-MD"/>
              </w:rPr>
            </w:pPr>
            <w:r w:rsidRPr="00A96E09">
              <w:rPr>
                <w:i w:val="0"/>
                <w:sz w:val="18"/>
                <w:szCs w:val="18"/>
                <w:lang w:val="ro-MD"/>
              </w:rPr>
              <w:t>(c) instituția calculează expunerea viitoare potențială a setului de compensare menționată la articolul 278 prin aplicarea tuturor cerințelor următoare:</w:t>
            </w:r>
          </w:p>
          <w:p w14:paraId="7A491927" w14:textId="582E9C65" w:rsidR="00AA7EC6" w:rsidRPr="00C14109" w:rsidRDefault="00AA7EC6" w:rsidP="003456B0">
            <w:pPr>
              <w:pStyle w:val="title-article-norm"/>
              <w:spacing w:before="0"/>
              <w:jc w:val="both"/>
              <w:rPr>
                <w:i w:val="0"/>
                <w:sz w:val="18"/>
                <w:szCs w:val="18"/>
                <w:lang w:val="ro-MD"/>
              </w:rPr>
            </w:pPr>
            <w:r w:rsidRPr="00C14109">
              <w:rPr>
                <w:i w:val="0"/>
                <w:sz w:val="18"/>
                <w:szCs w:val="18"/>
                <w:lang w:val="ro-MD"/>
              </w:rPr>
              <w:t>(i) multiplicatorul menționat la articolul 278 alineatul (1) se bazează pe datele de intrare CMV, NICA și VM, după caz, în conformitate cu litera (b) de la prezentul alineat;</w:t>
            </w:r>
          </w:p>
          <w:p w14:paraId="6852856E" w14:textId="77777777" w:rsidR="00AA7EC6" w:rsidRPr="00A96E09" w:rsidRDefault="00AA7EC6" w:rsidP="003456B0">
            <w:pPr>
              <w:pStyle w:val="title-article-norm"/>
              <w:spacing w:before="0"/>
              <w:jc w:val="both"/>
              <w:rPr>
                <w:i w:val="0"/>
                <w:sz w:val="18"/>
                <w:szCs w:val="18"/>
                <w:lang w:val="ro-MD"/>
              </w:rPr>
            </w:pPr>
            <w:r w:rsidRPr="004E72D3">
              <w:rPr>
                <w:i w:val="0"/>
                <w:sz w:val="18"/>
                <w:szCs w:val="18"/>
                <w:highlight w:val="yellow"/>
                <w:lang w:val="ro-MD"/>
              </w:rPr>
              <w:t xml:space="preserve">(ii) </w:t>
            </w:r>
            <w:bookmarkStart w:id="13" w:name="_Hlk214358562"/>
            <w:r w:rsidRPr="004E72D3">
              <w:rPr>
                <w:noProof/>
                <w:sz w:val="18"/>
                <w:szCs w:val="18"/>
                <w:highlight w:val="yellow"/>
                <w:lang w:val="ru-RU"/>
              </w:rPr>
              <w:drawing>
                <wp:inline distT="0" distB="0" distL="0" distR="0" wp14:anchorId="02534233" wp14:editId="1939F37D">
                  <wp:extent cx="424282" cy="220675"/>
                  <wp:effectExtent l="0" t="0" r="0" b="825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322" cy="227457"/>
                          </a:xfrm>
                          <a:prstGeom prst="rect">
                            <a:avLst/>
                          </a:prstGeom>
                          <a:noFill/>
                          <a:ln>
                            <a:noFill/>
                          </a:ln>
                        </pic:spPr>
                      </pic:pic>
                    </a:graphicData>
                  </a:graphic>
                </wp:inline>
              </w:drawing>
            </w:r>
            <w:r w:rsidRPr="004E72D3">
              <w:rPr>
                <w:i w:val="0"/>
                <w:sz w:val="18"/>
                <w:szCs w:val="18"/>
                <w:highlight w:val="yellow"/>
                <w:lang w:val="ro-MD"/>
              </w:rPr>
              <w:t xml:space="preserve"> calculează în conformitate cu articolul 278, separat pentru fiecare subset ipotetic de compensare menționat la litera (a) de la prezentul alineat.</w:t>
            </w:r>
            <w:r w:rsidRPr="00A96E09">
              <w:rPr>
                <w:i w:val="0"/>
                <w:sz w:val="18"/>
                <w:szCs w:val="18"/>
                <w:lang w:val="ro-MD"/>
              </w:rPr>
              <w:t xml:space="preserve"> </w:t>
            </w:r>
            <w:bookmarkEnd w:id="13"/>
          </w:p>
          <w:p w14:paraId="63326B3D" w14:textId="03081677" w:rsidR="001A4DE8" w:rsidRPr="00A96E09" w:rsidRDefault="001A4DE8" w:rsidP="003456B0">
            <w:pPr>
              <w:pStyle w:val="title-article-norm"/>
              <w:jc w:val="both"/>
              <w:rPr>
                <w:i w:val="0"/>
                <w:sz w:val="18"/>
                <w:szCs w:val="18"/>
                <w:lang w:val="ro-MD"/>
              </w:rPr>
            </w:pPr>
            <w:r w:rsidRPr="00A96E09">
              <w:rPr>
                <w:i w:val="0"/>
                <w:sz w:val="18"/>
                <w:szCs w:val="18"/>
                <w:lang w:val="ro-MD"/>
              </w:rPr>
              <w:t>(5) Instituţiile pot stabili ca valoarea expunerii să fie zero pentru un set de compensare care îndeplinește cumulativ următoarele condiţii:</w:t>
            </w:r>
          </w:p>
          <w:p w14:paraId="2048FDBF" w14:textId="77777777" w:rsidR="001A4DE8" w:rsidRPr="00A96E09" w:rsidRDefault="001A4DE8" w:rsidP="003456B0">
            <w:pPr>
              <w:pStyle w:val="title-article-norm"/>
              <w:jc w:val="both"/>
              <w:rPr>
                <w:i w:val="0"/>
                <w:sz w:val="18"/>
                <w:szCs w:val="18"/>
                <w:lang w:val="ro-MD"/>
              </w:rPr>
            </w:pPr>
            <w:r w:rsidRPr="00A96E09">
              <w:rPr>
                <w:i w:val="0"/>
                <w:sz w:val="18"/>
                <w:szCs w:val="18"/>
                <w:lang w:val="ro-MD"/>
              </w:rPr>
              <w:t>(a) setul de compensare este alcătuit exclusiv din opţiuni vândute;</w:t>
            </w:r>
          </w:p>
          <w:p w14:paraId="2B3B4228" w14:textId="77777777" w:rsidR="001A4DE8" w:rsidRPr="00A96E09" w:rsidRDefault="001A4DE8" w:rsidP="003456B0">
            <w:pPr>
              <w:pStyle w:val="title-article-norm"/>
              <w:jc w:val="both"/>
              <w:rPr>
                <w:i w:val="0"/>
                <w:sz w:val="18"/>
                <w:szCs w:val="18"/>
                <w:lang w:val="ro-MD"/>
              </w:rPr>
            </w:pPr>
            <w:r w:rsidRPr="00A96E09">
              <w:rPr>
                <w:i w:val="0"/>
                <w:sz w:val="18"/>
                <w:szCs w:val="18"/>
                <w:lang w:val="ro-MD"/>
              </w:rPr>
              <w:t>(b) valoarea curentă de piaţă a setului de compensare este în orice moment negativă;</w:t>
            </w:r>
          </w:p>
          <w:p w14:paraId="1B65D419" w14:textId="77777777" w:rsidR="001A4DE8" w:rsidRPr="00A96E09" w:rsidRDefault="001A4DE8" w:rsidP="003456B0">
            <w:pPr>
              <w:pStyle w:val="title-article-norm"/>
              <w:jc w:val="both"/>
              <w:rPr>
                <w:i w:val="0"/>
                <w:sz w:val="18"/>
                <w:szCs w:val="18"/>
                <w:lang w:val="ro-MD"/>
              </w:rPr>
            </w:pPr>
            <w:r w:rsidRPr="00A96E09">
              <w:rPr>
                <w:i w:val="0"/>
                <w:sz w:val="18"/>
                <w:szCs w:val="18"/>
                <w:lang w:val="ro-MD"/>
              </w:rPr>
              <w:t>(c) prima pentru toate opţiunile incluse în setul de compensare a fost primită în avans de către instituţie pentru a garanta executarea contractelor;</w:t>
            </w:r>
          </w:p>
          <w:p w14:paraId="2C867536" w14:textId="77777777" w:rsidR="001A4DE8" w:rsidRPr="00A96E09" w:rsidRDefault="001A4DE8" w:rsidP="003456B0">
            <w:pPr>
              <w:pStyle w:val="title-article-norm"/>
              <w:jc w:val="both"/>
              <w:rPr>
                <w:i w:val="0"/>
                <w:sz w:val="18"/>
                <w:szCs w:val="18"/>
                <w:lang w:val="ro-MD"/>
              </w:rPr>
            </w:pPr>
            <w:r w:rsidRPr="00A96E09">
              <w:rPr>
                <w:i w:val="0"/>
                <w:sz w:val="18"/>
                <w:szCs w:val="18"/>
                <w:lang w:val="ro-MD"/>
              </w:rPr>
              <w:t>(d) setul de compensare nu face obiectul niciunui contract în marjă.</w:t>
            </w:r>
          </w:p>
          <w:p w14:paraId="3D4B5FF3" w14:textId="77777777" w:rsidR="001A4DE8" w:rsidRPr="00A96E09" w:rsidRDefault="001A4DE8" w:rsidP="003456B0">
            <w:pPr>
              <w:pStyle w:val="title-article-norm"/>
              <w:jc w:val="both"/>
              <w:rPr>
                <w:i w:val="0"/>
                <w:sz w:val="18"/>
                <w:szCs w:val="18"/>
                <w:lang w:val="ro-MD"/>
              </w:rPr>
            </w:pPr>
            <w:r w:rsidRPr="00A96E09">
              <w:rPr>
                <w:i w:val="0"/>
                <w:sz w:val="18"/>
                <w:szCs w:val="18"/>
                <w:lang w:val="ro-MD"/>
              </w:rPr>
              <w:t xml:space="preserve">(6) Într-un set de compensare, instituţiile înlocuiesc o tranzacţie care este o combinaţie liniară finită de </w:t>
            </w:r>
            <w:r w:rsidRPr="00A96E09">
              <w:rPr>
                <w:i w:val="0"/>
                <w:sz w:val="18"/>
                <w:szCs w:val="18"/>
                <w:lang w:val="ro-MD"/>
              </w:rPr>
              <w:lastRenderedPageBreak/>
              <w:t>opţiuni call sau put cumpărate sau vândute cu toate opţiunile individuale care formează combinaţia liniară respectivă, privite ca o tranzacţie individuală, pentru a calcula valoarea expunerii setului de compensare în conformitate cu prezenta secţiune. Fiecare combinaţie de opţiuni de acest tip este considerată ca o tranzacţie individuală din setul de compensare în care este inclusă combinaţia pentru a calcula valoarea expunerii.</w:t>
            </w:r>
          </w:p>
          <w:p w14:paraId="1430C940" w14:textId="71D2258D" w:rsidR="007E662B" w:rsidRPr="00A96E09" w:rsidRDefault="007E662B" w:rsidP="003456B0">
            <w:pPr>
              <w:pStyle w:val="title-article-norm"/>
              <w:jc w:val="both"/>
              <w:rPr>
                <w:i w:val="0"/>
                <w:sz w:val="18"/>
                <w:szCs w:val="18"/>
              </w:rPr>
            </w:pPr>
            <w:r w:rsidRPr="00A96E09">
              <w:rPr>
                <w:i w:val="0"/>
                <w:sz w:val="18"/>
                <w:szCs w:val="18"/>
              </w:rPr>
              <w:t>Prin derogare de la primul paragraf, instituţiile înlocuiesc o opţiune digitală vanilla al cărei preţ de exercitare este egal cu K cu combinaţia relevantă de tip collar a două opţiuni vanilla call sau put vândute și cumpărate care îndeplinesc următoarele cerinţe: (a) cele două opţiuni ale combinaţiei de tip collar au: (i) aceeași dată de expirare și același preţ la vedere sau la termen al instrumentului-suport ca opţiunea digitală vanilla; (ii) preţuri de exercitare egale cu 0,95•K și, respectiv, 1,05•K; (b) combinaţia de tip collar reproduce exact randamentul opţiunii digitale vanilla în afara intervalului dintre cele două preţuri de exercitare menţionate la litera (a). Poziţia de risc a celor două opţiuni din combinaţia de tip collar menţionată la al doilea paragraf se calculează separat, în conformitate cu articolul 279.</w:t>
            </w:r>
          </w:p>
          <w:p w14:paraId="554E0774" w14:textId="0FACC41F" w:rsidR="001A4DE8" w:rsidRPr="00A96E09" w:rsidRDefault="001A4DE8" w:rsidP="003456B0">
            <w:pPr>
              <w:pStyle w:val="title-article-norm"/>
              <w:jc w:val="both"/>
              <w:rPr>
                <w:i w:val="0"/>
                <w:sz w:val="18"/>
                <w:szCs w:val="18"/>
                <w:lang w:val="ro-MD"/>
              </w:rPr>
            </w:pPr>
            <w:r w:rsidRPr="00A96E09">
              <w:rPr>
                <w:i w:val="0"/>
                <w:sz w:val="18"/>
                <w:szCs w:val="18"/>
                <w:lang w:val="ro-MD"/>
              </w:rPr>
              <w:t>(7) Valoarea expunerii unei tranzacţii cu instrumente financiare derivate de credit care reprezintă o poziţie lungă în suport poate fi plafonată la cuantumul primei neplătite restante, cu condiţia ca aceasta să fie tratată drept propriul său set de compensare care nu face obiectul unui contract în marjă.</w:t>
            </w:r>
          </w:p>
        </w:tc>
        <w:tc>
          <w:tcPr>
            <w:tcW w:w="4356" w:type="dxa"/>
          </w:tcPr>
          <w:p w14:paraId="71ECA0BE" w14:textId="77777777" w:rsidR="001A4DE8" w:rsidRPr="008070DB" w:rsidRDefault="001A4DE8" w:rsidP="003456B0">
            <w:pPr>
              <w:tabs>
                <w:tab w:val="left" w:pos="780"/>
              </w:tabs>
              <w:jc w:val="both"/>
              <w:rPr>
                <w:b/>
                <w:bCs/>
                <w:sz w:val="18"/>
                <w:szCs w:val="18"/>
                <w:lang w:val="ro-MD" w:eastAsia="en-US"/>
              </w:rPr>
            </w:pPr>
            <w:r w:rsidRPr="008070DB">
              <w:rPr>
                <w:b/>
                <w:bCs/>
                <w:sz w:val="18"/>
                <w:szCs w:val="18"/>
                <w:lang w:val="ro-MD" w:eastAsia="en-US"/>
              </w:rPr>
              <w:lastRenderedPageBreak/>
              <w:t>Capitolul III</w:t>
            </w:r>
          </w:p>
          <w:p w14:paraId="1DDF7DCE" w14:textId="77777777" w:rsidR="001A4DE8" w:rsidRPr="008070DB" w:rsidRDefault="001A4DE8" w:rsidP="003456B0">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Abordarea standardizată pentru riscul de credit al contrapărţii</w:t>
            </w:r>
          </w:p>
          <w:p w14:paraId="21EA0727" w14:textId="77777777" w:rsidR="001A4DE8" w:rsidRPr="008070DB" w:rsidRDefault="001A4DE8" w:rsidP="003456B0">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i/>
                <w:iCs/>
                <w:color w:val="000000"/>
                <w:sz w:val="18"/>
                <w:szCs w:val="18"/>
                <w:lang w:val="ro-MD" w:eastAsia="en-US"/>
                <w14:ligatures w14:val="standardContextual"/>
              </w:rPr>
              <w:t>Secțiunea 1</w:t>
            </w:r>
          </w:p>
          <w:p w14:paraId="2A21294D" w14:textId="77777777" w:rsidR="001A4DE8" w:rsidRPr="008070DB" w:rsidRDefault="001A4DE8" w:rsidP="003456B0">
            <w:pPr>
              <w:tabs>
                <w:tab w:val="left" w:pos="780"/>
              </w:tabs>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Valoarea expunerii</w:t>
            </w:r>
          </w:p>
          <w:p w14:paraId="23ABEB62" w14:textId="77777777" w:rsidR="00675A89" w:rsidRPr="008070DB" w:rsidRDefault="00675A89" w:rsidP="003456B0">
            <w:pPr>
              <w:tabs>
                <w:tab w:val="left" w:pos="284"/>
              </w:tabs>
              <w:autoSpaceDE w:val="0"/>
              <w:autoSpaceDN w:val="0"/>
              <w:adjustRightInd w:val="0"/>
              <w:spacing w:before="60" w:after="60"/>
              <w:jc w:val="both"/>
              <w:rPr>
                <w:sz w:val="18"/>
                <w:szCs w:val="18"/>
                <w:lang w:val="ro-MD"/>
              </w:rPr>
            </w:pPr>
            <w:r w:rsidRPr="008070DB">
              <w:rPr>
                <w:b/>
                <w:bCs/>
                <w:sz w:val="18"/>
                <w:szCs w:val="18"/>
                <w:lang w:val="ro-MD"/>
              </w:rPr>
              <w:t>3</w:t>
            </w:r>
            <w:r w:rsidR="00AE610C" w:rsidRPr="008070DB">
              <w:rPr>
                <w:b/>
                <w:bCs/>
                <w:sz w:val="18"/>
                <w:szCs w:val="18"/>
                <w:lang w:val="ro-MD"/>
              </w:rPr>
              <w:t>9.</w:t>
            </w:r>
            <w:r w:rsidR="00AE610C" w:rsidRPr="008070DB">
              <w:rPr>
                <w:b/>
                <w:bCs/>
                <w:sz w:val="18"/>
                <w:szCs w:val="18"/>
                <w:lang w:val="ro-MD"/>
              </w:rPr>
              <w:tab/>
            </w:r>
            <w:r w:rsidR="00AE610C" w:rsidRPr="008070DB">
              <w:rPr>
                <w:sz w:val="18"/>
                <w:szCs w:val="18"/>
                <w:lang w:val="ro-MD"/>
              </w:rPr>
              <w:t>Banca poate calcula o singură valoare a expunerii la nivelul setului de compensare pentru toate tranzacţiile care fac obiectul unui acord de compensare contractuală în cazul în care sunt îndeplinite cumulativ următoarele condiţii:</w:t>
            </w:r>
          </w:p>
          <w:p w14:paraId="12417C41" w14:textId="6B61D817" w:rsidR="00AE610C" w:rsidRPr="008070DB" w:rsidRDefault="00675A89" w:rsidP="003456B0">
            <w:pPr>
              <w:tabs>
                <w:tab w:val="left" w:pos="284"/>
                <w:tab w:val="left" w:pos="414"/>
              </w:tabs>
              <w:autoSpaceDE w:val="0"/>
              <w:autoSpaceDN w:val="0"/>
              <w:adjustRightInd w:val="0"/>
              <w:spacing w:before="60" w:after="60"/>
              <w:jc w:val="both"/>
              <w:rPr>
                <w:sz w:val="18"/>
                <w:szCs w:val="18"/>
                <w:lang w:val="ro-MD"/>
              </w:rPr>
            </w:pPr>
            <w:r w:rsidRPr="008070DB">
              <w:rPr>
                <w:sz w:val="18"/>
                <w:szCs w:val="18"/>
                <w:lang w:val="ro-MD"/>
              </w:rPr>
              <w:t>3</w:t>
            </w:r>
            <w:r w:rsidR="00AE610C" w:rsidRPr="008070DB">
              <w:rPr>
                <w:sz w:val="18"/>
                <w:szCs w:val="18"/>
                <w:lang w:val="ro-MD"/>
              </w:rPr>
              <w:t>9.1.</w:t>
            </w:r>
            <w:r w:rsidR="00AE610C" w:rsidRPr="008070DB">
              <w:rPr>
                <w:sz w:val="18"/>
                <w:szCs w:val="18"/>
                <w:lang w:val="ro-MD"/>
              </w:rPr>
              <w:tab/>
              <w:t>acordul de compensare face parte dintr-unul dintre tipurile de acorduri de compensare contractuală menţionate la punctele 1</w:t>
            </w:r>
            <w:r w:rsidRPr="008070DB">
              <w:rPr>
                <w:sz w:val="18"/>
                <w:szCs w:val="18"/>
                <w:lang w:val="ro-MD"/>
              </w:rPr>
              <w:t>0</w:t>
            </w:r>
            <w:r w:rsidR="00AE610C" w:rsidRPr="008070DB">
              <w:rPr>
                <w:sz w:val="18"/>
                <w:szCs w:val="18"/>
                <w:lang w:val="ro-MD"/>
              </w:rPr>
              <w:t>6 și 1</w:t>
            </w:r>
            <w:r w:rsidRPr="008070DB">
              <w:rPr>
                <w:sz w:val="18"/>
                <w:szCs w:val="18"/>
                <w:lang w:val="ro-MD"/>
              </w:rPr>
              <w:t>0</w:t>
            </w:r>
            <w:r w:rsidR="00AE610C" w:rsidRPr="008070DB">
              <w:rPr>
                <w:sz w:val="18"/>
                <w:szCs w:val="18"/>
                <w:lang w:val="ro-MD"/>
              </w:rPr>
              <w:t>7;</w:t>
            </w:r>
          </w:p>
          <w:p w14:paraId="7548816F" w14:textId="469F613A" w:rsidR="00AE610C" w:rsidRPr="008070DB" w:rsidRDefault="00675A89" w:rsidP="003456B0">
            <w:pPr>
              <w:tabs>
                <w:tab w:val="left" w:pos="426"/>
              </w:tabs>
              <w:autoSpaceDE w:val="0"/>
              <w:autoSpaceDN w:val="0"/>
              <w:adjustRightInd w:val="0"/>
              <w:spacing w:before="60" w:after="60"/>
              <w:jc w:val="both"/>
              <w:rPr>
                <w:sz w:val="18"/>
                <w:szCs w:val="18"/>
                <w:lang w:val="ro-MD"/>
              </w:rPr>
            </w:pPr>
            <w:r w:rsidRPr="008070DB">
              <w:rPr>
                <w:sz w:val="18"/>
                <w:szCs w:val="18"/>
                <w:lang w:val="ro-MD"/>
              </w:rPr>
              <w:t>3</w:t>
            </w:r>
            <w:r w:rsidR="00AE610C" w:rsidRPr="008070DB">
              <w:rPr>
                <w:sz w:val="18"/>
                <w:szCs w:val="18"/>
                <w:lang w:val="ro-MD"/>
              </w:rPr>
              <w:t>9.2.</w:t>
            </w:r>
            <w:r w:rsidR="00AE610C" w:rsidRPr="008070DB">
              <w:rPr>
                <w:sz w:val="18"/>
                <w:szCs w:val="18"/>
                <w:lang w:val="ro-MD"/>
              </w:rPr>
              <w:tab/>
              <w:t>acordul de compensare a fost recunoscut de Banca Națională a Moldovei în conformitate cu punctele 1</w:t>
            </w:r>
            <w:r w:rsidRPr="008070DB">
              <w:rPr>
                <w:sz w:val="18"/>
                <w:szCs w:val="18"/>
                <w:lang w:val="ro-MD"/>
              </w:rPr>
              <w:t>0</w:t>
            </w:r>
            <w:r w:rsidR="00AE610C" w:rsidRPr="008070DB">
              <w:rPr>
                <w:sz w:val="18"/>
                <w:szCs w:val="18"/>
                <w:lang w:val="ro-MD"/>
              </w:rPr>
              <w:t>8-1</w:t>
            </w:r>
            <w:r w:rsidRPr="008070DB">
              <w:rPr>
                <w:sz w:val="18"/>
                <w:szCs w:val="18"/>
                <w:lang w:val="ro-MD"/>
              </w:rPr>
              <w:t>1</w:t>
            </w:r>
            <w:r w:rsidR="00AE610C" w:rsidRPr="008070DB">
              <w:rPr>
                <w:sz w:val="18"/>
                <w:szCs w:val="18"/>
                <w:lang w:val="ro-MD"/>
              </w:rPr>
              <w:t>1;</w:t>
            </w:r>
          </w:p>
          <w:p w14:paraId="799A6586" w14:textId="5D05350A" w:rsidR="00AE610C" w:rsidRPr="008070DB" w:rsidRDefault="00675A89" w:rsidP="003456B0">
            <w:pPr>
              <w:tabs>
                <w:tab w:val="left" w:pos="426"/>
              </w:tabs>
              <w:autoSpaceDE w:val="0"/>
              <w:autoSpaceDN w:val="0"/>
              <w:adjustRightInd w:val="0"/>
              <w:spacing w:before="60" w:after="60"/>
              <w:jc w:val="both"/>
              <w:rPr>
                <w:sz w:val="18"/>
                <w:szCs w:val="18"/>
                <w:lang w:val="ro-MD"/>
              </w:rPr>
            </w:pPr>
            <w:r w:rsidRPr="008070DB">
              <w:rPr>
                <w:sz w:val="18"/>
                <w:szCs w:val="18"/>
                <w:lang w:val="ro-MD"/>
              </w:rPr>
              <w:t>3</w:t>
            </w:r>
            <w:r w:rsidR="00AE610C" w:rsidRPr="008070DB">
              <w:rPr>
                <w:sz w:val="18"/>
                <w:szCs w:val="18"/>
                <w:lang w:val="ro-MD"/>
              </w:rPr>
              <w:t>9.3.</w:t>
            </w:r>
            <w:r w:rsidR="00AE610C" w:rsidRPr="008070DB">
              <w:rPr>
                <w:sz w:val="18"/>
                <w:szCs w:val="18"/>
                <w:lang w:val="ro-MD"/>
              </w:rPr>
              <w:tab/>
              <w:t>banca și-a îndeplinit obligaţiile prevăzute la punctele 1</w:t>
            </w:r>
            <w:r w:rsidRPr="008070DB">
              <w:rPr>
                <w:sz w:val="18"/>
                <w:szCs w:val="18"/>
                <w:lang w:val="ro-MD"/>
              </w:rPr>
              <w:t>1</w:t>
            </w:r>
            <w:r w:rsidR="00AE610C" w:rsidRPr="008070DB">
              <w:rPr>
                <w:sz w:val="18"/>
                <w:szCs w:val="18"/>
                <w:lang w:val="ro-MD"/>
              </w:rPr>
              <w:t>2-1</w:t>
            </w:r>
            <w:r w:rsidRPr="008070DB">
              <w:rPr>
                <w:sz w:val="18"/>
                <w:szCs w:val="18"/>
                <w:lang w:val="ro-MD"/>
              </w:rPr>
              <w:t>1</w:t>
            </w:r>
            <w:r w:rsidR="00AE610C" w:rsidRPr="008070DB">
              <w:rPr>
                <w:sz w:val="18"/>
                <w:szCs w:val="18"/>
                <w:lang w:val="ro-MD"/>
              </w:rPr>
              <w:t xml:space="preserve">6 în ceea ce privește acordul de compensare. </w:t>
            </w:r>
          </w:p>
          <w:p w14:paraId="3335BC98" w14:textId="1133CE88" w:rsidR="00AE610C" w:rsidRPr="008070DB" w:rsidRDefault="00675A89" w:rsidP="003456B0">
            <w:pPr>
              <w:tabs>
                <w:tab w:val="left" w:pos="426"/>
              </w:tabs>
              <w:autoSpaceDE w:val="0"/>
              <w:autoSpaceDN w:val="0"/>
              <w:adjustRightInd w:val="0"/>
              <w:spacing w:before="60" w:after="60"/>
              <w:jc w:val="both"/>
              <w:rPr>
                <w:b/>
                <w:bCs/>
                <w:sz w:val="18"/>
                <w:szCs w:val="18"/>
                <w:lang w:val="ro-MD"/>
              </w:rPr>
            </w:pPr>
            <w:r w:rsidRPr="008070DB">
              <w:rPr>
                <w:b/>
                <w:bCs/>
                <w:sz w:val="18"/>
                <w:szCs w:val="18"/>
                <w:lang w:val="ro-MD"/>
              </w:rPr>
              <w:t>4</w:t>
            </w:r>
            <w:r w:rsidR="00AE610C" w:rsidRPr="008070DB">
              <w:rPr>
                <w:b/>
                <w:bCs/>
                <w:sz w:val="18"/>
                <w:szCs w:val="18"/>
                <w:lang w:val="ro-MD"/>
              </w:rPr>
              <w:t>0.</w:t>
            </w:r>
            <w:r w:rsidR="00AE610C" w:rsidRPr="008070DB">
              <w:rPr>
                <w:b/>
                <w:bCs/>
                <w:sz w:val="18"/>
                <w:szCs w:val="18"/>
                <w:lang w:val="ro-MD"/>
              </w:rPr>
              <w:tab/>
            </w:r>
            <w:r w:rsidR="00AE610C" w:rsidRPr="008070DB">
              <w:rPr>
                <w:sz w:val="18"/>
                <w:szCs w:val="18"/>
                <w:lang w:val="ro-MD"/>
              </w:rPr>
              <w:t xml:space="preserve">În cazul în care oricare dintre condiţiile prevăzute la punctul </w:t>
            </w:r>
            <w:r w:rsidRPr="008070DB">
              <w:rPr>
                <w:sz w:val="18"/>
                <w:szCs w:val="18"/>
                <w:lang w:val="ro-MD"/>
              </w:rPr>
              <w:t>3</w:t>
            </w:r>
            <w:r w:rsidR="00AE610C" w:rsidRPr="008070DB">
              <w:rPr>
                <w:sz w:val="18"/>
                <w:szCs w:val="18"/>
                <w:lang w:val="ro-MD"/>
              </w:rPr>
              <w:t>9 nu este îndeplinită, banca tratează fiecare tranzacţie ca și cum ar fi propriul său set de compensare.</w:t>
            </w:r>
            <w:r w:rsidR="00AE610C" w:rsidRPr="008070DB">
              <w:rPr>
                <w:b/>
                <w:bCs/>
                <w:sz w:val="18"/>
                <w:szCs w:val="18"/>
                <w:lang w:val="ro-MD"/>
              </w:rPr>
              <w:t xml:space="preserve"> </w:t>
            </w:r>
          </w:p>
          <w:p w14:paraId="2F90D0E3" w14:textId="513899EC" w:rsidR="00AE610C" w:rsidRPr="008070DB" w:rsidRDefault="00675A89" w:rsidP="003456B0">
            <w:pPr>
              <w:tabs>
                <w:tab w:val="left" w:pos="426"/>
              </w:tabs>
              <w:autoSpaceDE w:val="0"/>
              <w:autoSpaceDN w:val="0"/>
              <w:adjustRightInd w:val="0"/>
              <w:spacing w:before="60" w:after="60"/>
              <w:jc w:val="both"/>
              <w:rPr>
                <w:sz w:val="18"/>
                <w:szCs w:val="18"/>
                <w:lang w:val="ro-MD"/>
              </w:rPr>
            </w:pPr>
            <w:r w:rsidRPr="008070DB">
              <w:rPr>
                <w:b/>
                <w:bCs/>
                <w:sz w:val="18"/>
                <w:szCs w:val="18"/>
                <w:lang w:val="ro-MD"/>
              </w:rPr>
              <w:t>4</w:t>
            </w:r>
            <w:r w:rsidR="00AE610C" w:rsidRPr="008070DB">
              <w:rPr>
                <w:b/>
                <w:bCs/>
                <w:sz w:val="18"/>
                <w:szCs w:val="18"/>
                <w:lang w:val="ro-MD"/>
              </w:rPr>
              <w:t>1.</w:t>
            </w:r>
            <w:r w:rsidR="00AE610C" w:rsidRPr="008070DB">
              <w:rPr>
                <w:b/>
                <w:bCs/>
                <w:sz w:val="18"/>
                <w:szCs w:val="18"/>
                <w:lang w:val="ro-MD"/>
              </w:rPr>
              <w:tab/>
            </w:r>
            <w:r w:rsidR="00AE610C" w:rsidRPr="008070DB">
              <w:rPr>
                <w:sz w:val="18"/>
                <w:szCs w:val="18"/>
                <w:lang w:val="ro-MD"/>
              </w:rPr>
              <w:t xml:space="preserve">Băncile calculează valoarea expunerii unui set de compensare conform abordării standardizate pentru riscul de credit al contrapărţii după cum urmează: </w:t>
            </w:r>
          </w:p>
          <w:p w14:paraId="61AA5ABF" w14:textId="77777777" w:rsidR="00AE610C" w:rsidRPr="008070DB" w:rsidRDefault="00AE610C"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Valoarea expunerii = α · (RC + PFE)</w:t>
            </w:r>
          </w:p>
          <w:p w14:paraId="5F6839C3" w14:textId="77777777" w:rsidR="00AE610C" w:rsidRPr="008070DB" w:rsidRDefault="00AE610C"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unde: </w:t>
            </w:r>
          </w:p>
          <w:p w14:paraId="3C7CC8A7" w14:textId="5432E920" w:rsidR="00AE610C" w:rsidRPr="008070DB" w:rsidRDefault="00AE610C"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RC = costul de înlocuire, calculat în conformitate cu punctele </w:t>
            </w:r>
            <w:r w:rsidR="00675A89" w:rsidRPr="008070DB">
              <w:rPr>
                <w:sz w:val="18"/>
                <w:szCs w:val="18"/>
                <w:lang w:val="ro-MD"/>
              </w:rPr>
              <w:t>4</w:t>
            </w:r>
            <w:r w:rsidRPr="008070DB">
              <w:rPr>
                <w:sz w:val="18"/>
                <w:szCs w:val="18"/>
                <w:lang w:val="ro-MD"/>
              </w:rPr>
              <w:t>9-</w:t>
            </w:r>
            <w:r w:rsidR="00675A89" w:rsidRPr="008070DB">
              <w:rPr>
                <w:sz w:val="18"/>
                <w:szCs w:val="18"/>
                <w:lang w:val="ro-MD"/>
              </w:rPr>
              <w:t>5</w:t>
            </w:r>
            <w:r w:rsidRPr="008070DB">
              <w:rPr>
                <w:sz w:val="18"/>
                <w:szCs w:val="18"/>
                <w:lang w:val="ro-MD"/>
              </w:rPr>
              <w:t xml:space="preserve">1; și </w:t>
            </w:r>
          </w:p>
          <w:p w14:paraId="1A2A8E34" w14:textId="2A93E314" w:rsidR="00AE610C" w:rsidRPr="008070DB" w:rsidRDefault="00AE610C"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PFE = expunerea viitoare potenţială calculată în conformitate cu punctele </w:t>
            </w:r>
            <w:r w:rsidR="00675A89" w:rsidRPr="008070DB">
              <w:rPr>
                <w:sz w:val="18"/>
                <w:szCs w:val="18"/>
                <w:lang w:val="ro-MD"/>
              </w:rPr>
              <w:t>6</w:t>
            </w:r>
            <w:r w:rsidRPr="008070DB">
              <w:rPr>
                <w:sz w:val="18"/>
                <w:szCs w:val="18"/>
                <w:lang w:val="ro-MD"/>
              </w:rPr>
              <w:t>6-</w:t>
            </w:r>
            <w:r w:rsidR="00675A89" w:rsidRPr="008070DB">
              <w:rPr>
                <w:sz w:val="18"/>
                <w:szCs w:val="18"/>
                <w:lang w:val="ro-MD"/>
              </w:rPr>
              <w:t>6</w:t>
            </w:r>
            <w:r w:rsidRPr="008070DB">
              <w:rPr>
                <w:sz w:val="18"/>
                <w:szCs w:val="18"/>
                <w:lang w:val="ro-MD"/>
              </w:rPr>
              <w:t xml:space="preserve">8; </w:t>
            </w:r>
          </w:p>
          <w:p w14:paraId="6D9E2B11" w14:textId="77777777" w:rsidR="00AE610C" w:rsidRPr="008070DB" w:rsidRDefault="00AE610C"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α = 1,4. </w:t>
            </w:r>
          </w:p>
          <w:p w14:paraId="2F292D56" w14:textId="77777777" w:rsidR="00675A89" w:rsidRPr="008070DB" w:rsidRDefault="00675A89" w:rsidP="003456B0">
            <w:pPr>
              <w:tabs>
                <w:tab w:val="left" w:pos="284"/>
              </w:tabs>
              <w:autoSpaceDE w:val="0"/>
              <w:autoSpaceDN w:val="0"/>
              <w:adjustRightInd w:val="0"/>
              <w:spacing w:before="60" w:after="60"/>
              <w:jc w:val="both"/>
              <w:rPr>
                <w:b/>
                <w:bCs/>
                <w:sz w:val="18"/>
                <w:szCs w:val="18"/>
                <w:lang w:val="ro-MD"/>
              </w:rPr>
            </w:pPr>
            <w:r w:rsidRPr="008070DB">
              <w:rPr>
                <w:b/>
                <w:bCs/>
                <w:sz w:val="18"/>
                <w:szCs w:val="18"/>
                <w:lang w:val="ro-MD"/>
              </w:rPr>
              <w:t>4</w:t>
            </w:r>
            <w:r w:rsidR="00AE610C" w:rsidRPr="008070DB">
              <w:rPr>
                <w:b/>
                <w:bCs/>
                <w:sz w:val="18"/>
                <w:szCs w:val="18"/>
                <w:lang w:val="ro-MD"/>
              </w:rPr>
              <w:t>2.</w:t>
            </w:r>
            <w:r w:rsidR="00AE610C" w:rsidRPr="008070DB">
              <w:rPr>
                <w:b/>
                <w:bCs/>
                <w:sz w:val="18"/>
                <w:szCs w:val="18"/>
                <w:lang w:val="ro-MD"/>
              </w:rPr>
              <w:tab/>
            </w:r>
            <w:r w:rsidR="00AE610C" w:rsidRPr="008070DB">
              <w:rPr>
                <w:sz w:val="18"/>
                <w:szCs w:val="18"/>
                <w:lang w:val="ro-MD"/>
              </w:rPr>
              <w:t>Valoarea expunerii unui set de compensare care face obiectul unui contract în marjă este plafonată la nivelul valorii expunerii aceluiași set de compensare în cazul în care nu ar face obiectul niciunei forme de contract în marjă.</w:t>
            </w:r>
            <w:r w:rsidR="00AE610C" w:rsidRPr="008070DB">
              <w:rPr>
                <w:b/>
                <w:bCs/>
                <w:sz w:val="18"/>
                <w:szCs w:val="18"/>
                <w:lang w:val="ro-MD"/>
              </w:rPr>
              <w:t xml:space="preserve"> </w:t>
            </w:r>
          </w:p>
          <w:p w14:paraId="2168205A" w14:textId="77777777" w:rsidR="00366868" w:rsidRPr="008070DB" w:rsidRDefault="00366868" w:rsidP="003456B0">
            <w:pPr>
              <w:ind w:hanging="13"/>
              <w:jc w:val="both"/>
              <w:rPr>
                <w:i/>
                <w:iCs/>
                <w:sz w:val="18"/>
                <w:szCs w:val="18"/>
                <w:lang w:val="ro-RO" w:eastAsia="ro-MD"/>
              </w:rPr>
            </w:pPr>
            <w:r w:rsidRPr="008070DB">
              <w:rPr>
                <w:b/>
                <w:bCs/>
                <w:i/>
                <w:iCs/>
                <w:sz w:val="18"/>
                <w:szCs w:val="18"/>
                <w:lang w:val="ro-RO" w:eastAsia="ro-MD"/>
              </w:rPr>
              <w:t>43.</w:t>
            </w:r>
            <w:r w:rsidRPr="008070DB">
              <w:rPr>
                <w:i/>
                <w:iCs/>
                <w:sz w:val="18"/>
                <w:szCs w:val="18"/>
                <w:lang w:val="ro-RO" w:eastAsia="ro-MD"/>
              </w:rPr>
              <w:t xml:space="preserve"> În cazul în care unui set de compensare i se aplică mai multe contracte în marjă sau în cazul în care acelaşi set de compensare include atât tranzacţii care fac obiectul unui</w:t>
            </w:r>
            <w:r w:rsidRPr="008070DB">
              <w:rPr>
                <w:sz w:val="18"/>
                <w:szCs w:val="18"/>
                <w:lang w:val="ro-RO" w:eastAsia="ro-MD"/>
              </w:rPr>
              <w:t xml:space="preserve"> </w:t>
            </w:r>
            <w:r w:rsidRPr="008070DB">
              <w:rPr>
                <w:i/>
                <w:iCs/>
                <w:sz w:val="18"/>
                <w:szCs w:val="18"/>
                <w:lang w:val="ro-RO" w:eastAsia="ro-MD"/>
              </w:rPr>
              <w:t>contract în marjă, cât şi tranzacţii care nu fac obiectul unui contract în marjă, banca îşi calculează valoarea expunerii după cum urmează:</w:t>
            </w:r>
          </w:p>
          <w:p w14:paraId="32ADD1BF" w14:textId="77777777" w:rsidR="00366868" w:rsidRPr="008070DB" w:rsidRDefault="00366868" w:rsidP="003456B0">
            <w:pPr>
              <w:jc w:val="both"/>
              <w:rPr>
                <w:i/>
                <w:iCs/>
                <w:sz w:val="18"/>
                <w:szCs w:val="18"/>
                <w:lang w:val="en-US" w:eastAsia="ro-MD"/>
              </w:rPr>
            </w:pPr>
            <w:r w:rsidRPr="008070DB">
              <w:rPr>
                <w:i/>
                <w:iCs/>
                <w:sz w:val="18"/>
                <w:szCs w:val="18"/>
                <w:lang w:val="en-US" w:eastAsia="ro-MD"/>
              </w:rPr>
              <w:t>43.1. banca stabilește subseturile ipotetice de compensare în cauză, compuse din tranzacțiile incluse în setul de compensare, după cum urmează:</w:t>
            </w:r>
          </w:p>
          <w:p w14:paraId="515456F1" w14:textId="71FF3ABE" w:rsidR="00366868" w:rsidRPr="008070DB" w:rsidRDefault="00366868" w:rsidP="003456B0">
            <w:pPr>
              <w:jc w:val="both"/>
              <w:rPr>
                <w:i/>
                <w:iCs/>
                <w:sz w:val="18"/>
                <w:szCs w:val="18"/>
                <w:lang w:val="en-US" w:eastAsia="ro-MD"/>
              </w:rPr>
            </w:pPr>
            <w:r w:rsidRPr="008070DB">
              <w:rPr>
                <w:i/>
                <w:iCs/>
                <w:sz w:val="18"/>
                <w:szCs w:val="18"/>
                <w:lang w:val="en-US" w:eastAsia="ro-MD"/>
              </w:rPr>
              <w:lastRenderedPageBreak/>
              <w:t>43.1.1. toate tranzacțiile care fac obiectul unui contract în marjă și cărora li se aplică aceeași perioadă de risc de marjă determinată în conformitate cu punctele 1</w:t>
            </w:r>
            <w:r w:rsidR="00D43539">
              <w:rPr>
                <w:i/>
                <w:iCs/>
                <w:sz w:val="18"/>
                <w:szCs w:val="18"/>
                <w:lang w:val="en-US" w:eastAsia="ro-MD"/>
              </w:rPr>
              <w:t>81</w:t>
            </w:r>
            <w:r w:rsidRPr="008070DB">
              <w:rPr>
                <w:i/>
                <w:iCs/>
                <w:sz w:val="18"/>
                <w:szCs w:val="18"/>
                <w:lang w:val="en-US" w:eastAsia="ro-MD"/>
              </w:rPr>
              <w:t>-1</w:t>
            </w:r>
            <w:r w:rsidR="00D43539">
              <w:rPr>
                <w:i/>
                <w:iCs/>
                <w:sz w:val="18"/>
                <w:szCs w:val="18"/>
                <w:lang w:val="en-US" w:eastAsia="ro-MD"/>
              </w:rPr>
              <w:t>86</w:t>
            </w:r>
            <w:r w:rsidRPr="008070DB">
              <w:rPr>
                <w:i/>
                <w:iCs/>
                <w:sz w:val="18"/>
                <w:szCs w:val="18"/>
                <w:lang w:val="en-US" w:eastAsia="ro-MD"/>
              </w:rPr>
              <w:t xml:space="preserve"> se alocă aceluiași subset de </w:t>
            </w:r>
            <w:proofErr w:type="gramStart"/>
            <w:r w:rsidRPr="008070DB">
              <w:rPr>
                <w:i/>
                <w:iCs/>
                <w:sz w:val="18"/>
                <w:szCs w:val="18"/>
                <w:lang w:val="en-US" w:eastAsia="ro-MD"/>
              </w:rPr>
              <w:t>compensare;</w:t>
            </w:r>
            <w:proofErr w:type="gramEnd"/>
          </w:p>
          <w:p w14:paraId="2B982B20" w14:textId="77777777" w:rsidR="00366868" w:rsidRPr="008070DB" w:rsidRDefault="00366868" w:rsidP="003456B0">
            <w:pPr>
              <w:jc w:val="both"/>
              <w:rPr>
                <w:i/>
                <w:iCs/>
                <w:sz w:val="18"/>
                <w:szCs w:val="18"/>
                <w:lang w:val="en-US" w:eastAsia="ro-MD"/>
              </w:rPr>
            </w:pPr>
            <w:r w:rsidRPr="008070DB">
              <w:rPr>
                <w:i/>
                <w:iCs/>
                <w:sz w:val="18"/>
                <w:szCs w:val="18"/>
                <w:lang w:val="en-US" w:eastAsia="ro-MD"/>
              </w:rPr>
              <w:t>43.1.2. toate tranzacțiile care nu fac obiectul unui contract în marjă se alocă aceluiași subset de compensare, care este distinct de subseturile de compensare stabilite în conformitate cu subpunctul 43.1.1</w:t>
            </w:r>
            <w:proofErr w:type="gramStart"/>
            <w:r w:rsidRPr="008070DB">
              <w:rPr>
                <w:i/>
                <w:iCs/>
                <w:sz w:val="18"/>
                <w:szCs w:val="18"/>
                <w:lang w:val="en-US" w:eastAsia="ro-MD"/>
              </w:rPr>
              <w:t>.;</w:t>
            </w:r>
            <w:proofErr w:type="gramEnd"/>
          </w:p>
          <w:p w14:paraId="07BB40B9" w14:textId="77777777" w:rsidR="00366868" w:rsidRPr="008070DB" w:rsidRDefault="00366868" w:rsidP="003456B0">
            <w:pPr>
              <w:jc w:val="both"/>
              <w:rPr>
                <w:i/>
                <w:iCs/>
                <w:sz w:val="18"/>
                <w:szCs w:val="18"/>
                <w:lang w:val="en-US" w:eastAsia="ro-MD"/>
              </w:rPr>
            </w:pPr>
            <w:r w:rsidRPr="008070DB">
              <w:rPr>
                <w:i/>
                <w:iCs/>
                <w:sz w:val="18"/>
                <w:szCs w:val="18"/>
                <w:lang w:val="en-US" w:eastAsia="ro-MD"/>
              </w:rPr>
              <w:t>43.2. banca calculează costul de înlocuire al setului de compensare în conformitate cu punctul 50, luând în considerare toate tranzacţiile din cadrul setului de compensare, indiferent dacă fac sau nu obiectul unui contract în marjă, şi aplică toate cerinţele următoare:</w:t>
            </w:r>
          </w:p>
          <w:p w14:paraId="35AEA15F" w14:textId="77777777" w:rsidR="00366868" w:rsidRPr="008070DB" w:rsidRDefault="00366868" w:rsidP="003456B0">
            <w:pPr>
              <w:jc w:val="both"/>
              <w:rPr>
                <w:i/>
                <w:iCs/>
                <w:sz w:val="18"/>
                <w:szCs w:val="18"/>
                <w:lang w:val="en-US" w:eastAsia="ro-MD"/>
              </w:rPr>
            </w:pPr>
            <w:r w:rsidRPr="008070DB">
              <w:rPr>
                <w:i/>
                <w:iCs/>
                <w:sz w:val="18"/>
                <w:szCs w:val="18"/>
                <w:lang w:val="en-US" w:eastAsia="ro-MD"/>
              </w:rPr>
              <w:t xml:space="preserve">43.2.1. CMV se calculează pentru toate tranzacţiile din cadrul unui set de compensare, înainte de a deduce orice garanţie reală deţinută sau furnizată, în cazul în care valorile de piaţă pozitive şi negative sunt compensate la calcularea </w:t>
            </w:r>
            <w:proofErr w:type="gramStart"/>
            <w:r w:rsidRPr="008070DB">
              <w:rPr>
                <w:i/>
                <w:iCs/>
                <w:sz w:val="18"/>
                <w:szCs w:val="18"/>
                <w:lang w:val="en-US" w:eastAsia="ro-MD"/>
              </w:rPr>
              <w:t>CMV;</w:t>
            </w:r>
            <w:proofErr w:type="gramEnd"/>
          </w:p>
          <w:p w14:paraId="07717AC7" w14:textId="77777777" w:rsidR="00366868" w:rsidRPr="008070DB" w:rsidRDefault="00366868" w:rsidP="003456B0">
            <w:pPr>
              <w:jc w:val="both"/>
              <w:rPr>
                <w:i/>
                <w:iCs/>
                <w:sz w:val="18"/>
                <w:szCs w:val="18"/>
                <w:lang w:val="en-US" w:eastAsia="ro-MD"/>
              </w:rPr>
            </w:pPr>
            <w:r w:rsidRPr="008070DB">
              <w:rPr>
                <w:i/>
                <w:iCs/>
                <w:sz w:val="18"/>
                <w:szCs w:val="18"/>
                <w:lang w:val="en-US" w:eastAsia="ro-MD"/>
              </w:rPr>
              <w:t xml:space="preserve">43.2.2. NICA, VM, TH şi MTA, după caz, se calculează separat ca sumă </w:t>
            </w:r>
            <w:proofErr w:type="gramStart"/>
            <w:r w:rsidRPr="008070DB">
              <w:rPr>
                <w:i/>
                <w:iCs/>
                <w:sz w:val="18"/>
                <w:szCs w:val="18"/>
                <w:lang w:val="en-US" w:eastAsia="ro-MD"/>
              </w:rPr>
              <w:t>a</w:t>
            </w:r>
            <w:proofErr w:type="gramEnd"/>
            <w:r w:rsidRPr="008070DB">
              <w:rPr>
                <w:i/>
                <w:iCs/>
                <w:sz w:val="18"/>
                <w:szCs w:val="18"/>
                <w:lang w:val="en-US" w:eastAsia="ro-MD"/>
              </w:rPr>
              <w:t xml:space="preserve"> aceloraşi date de intrare aplicabile fiecărui contract în marjă individual din setul de </w:t>
            </w:r>
            <w:proofErr w:type="gramStart"/>
            <w:r w:rsidRPr="008070DB">
              <w:rPr>
                <w:i/>
                <w:iCs/>
                <w:sz w:val="18"/>
                <w:szCs w:val="18"/>
                <w:lang w:val="en-US" w:eastAsia="ro-MD"/>
              </w:rPr>
              <w:t>compensare;</w:t>
            </w:r>
            <w:proofErr w:type="gramEnd"/>
          </w:p>
          <w:p w14:paraId="277FDFCA" w14:textId="4AAF82A5" w:rsidR="00366868" w:rsidRPr="008070DB" w:rsidRDefault="00366868" w:rsidP="003456B0">
            <w:pPr>
              <w:jc w:val="both"/>
              <w:rPr>
                <w:i/>
                <w:iCs/>
                <w:sz w:val="18"/>
                <w:szCs w:val="18"/>
                <w:lang w:val="en-US" w:eastAsia="ro-MD"/>
              </w:rPr>
            </w:pPr>
            <w:r w:rsidRPr="008070DB">
              <w:rPr>
                <w:i/>
                <w:iCs/>
                <w:sz w:val="18"/>
                <w:szCs w:val="18"/>
                <w:lang w:val="en-US" w:eastAsia="ro-MD"/>
              </w:rPr>
              <w:t xml:space="preserve">43.3. banca calculează expunerea viitoare potenţială a setului de compensare menţionată la punctele 66-68 prin aplicarea </w:t>
            </w:r>
            <w:r w:rsidR="00D43539">
              <w:rPr>
                <w:i/>
                <w:iCs/>
                <w:sz w:val="18"/>
                <w:szCs w:val="18"/>
                <w:lang w:val="en-US" w:eastAsia="ro-MD"/>
              </w:rPr>
              <w:t>următoarelor</w:t>
            </w:r>
            <w:r w:rsidRPr="008070DB">
              <w:rPr>
                <w:i/>
                <w:iCs/>
                <w:sz w:val="18"/>
                <w:szCs w:val="18"/>
                <w:lang w:val="en-US" w:eastAsia="ro-MD"/>
              </w:rPr>
              <w:t xml:space="preserve"> cerinţe:</w:t>
            </w:r>
          </w:p>
          <w:p w14:paraId="6FB90466" w14:textId="591CBE41" w:rsidR="00366868" w:rsidRPr="008070DB" w:rsidRDefault="00366868" w:rsidP="003456B0">
            <w:pPr>
              <w:jc w:val="both"/>
              <w:rPr>
                <w:i/>
                <w:iCs/>
                <w:sz w:val="18"/>
                <w:szCs w:val="18"/>
                <w:lang w:val="en-US" w:eastAsia="ro-MD"/>
              </w:rPr>
            </w:pPr>
            <w:r w:rsidRPr="008070DB">
              <w:rPr>
                <w:i/>
                <w:iCs/>
                <w:sz w:val="18"/>
                <w:szCs w:val="18"/>
                <w:lang w:val="en-US" w:eastAsia="ro-MD"/>
              </w:rPr>
              <w:t xml:space="preserve">43.3.1. </w:t>
            </w:r>
            <w:r w:rsidR="00D43539">
              <w:rPr>
                <w:i/>
                <w:iCs/>
                <w:sz w:val="18"/>
                <w:szCs w:val="18"/>
                <w:lang w:val="en-US" w:eastAsia="ro-MD"/>
              </w:rPr>
              <w:t xml:space="preserve">calculează </w:t>
            </w:r>
            <w:r w:rsidRPr="008070DB">
              <w:rPr>
                <w:i/>
                <w:iCs/>
                <w:sz w:val="18"/>
                <w:szCs w:val="18"/>
                <w:lang w:val="en-US" w:eastAsia="ro-MD"/>
              </w:rPr>
              <w:t>multiplicatorul indicat la punctul 66, bazându-se pe datele de intrare CMV, NICA şi VM, după caz, în conformitate cu subpunctul 43.2.</w:t>
            </w:r>
          </w:p>
          <w:p w14:paraId="27EAA9DA" w14:textId="0834AEC9" w:rsidR="00366868" w:rsidRPr="008070DB" w:rsidRDefault="00366868" w:rsidP="003456B0">
            <w:pPr>
              <w:jc w:val="both"/>
              <w:rPr>
                <w:i/>
                <w:iCs/>
                <w:sz w:val="18"/>
                <w:szCs w:val="18"/>
                <w:lang w:val="ro-MD" w:eastAsia="ro-MD"/>
              </w:rPr>
            </w:pPr>
            <w:r w:rsidRPr="008070DB">
              <w:rPr>
                <w:i/>
                <w:iCs/>
                <w:sz w:val="18"/>
                <w:szCs w:val="18"/>
                <w:lang w:val="en-US" w:eastAsia="ro-MD"/>
              </w:rPr>
              <w:t>43.3.2.</w:t>
            </w:r>
            <w:r w:rsidR="00D43539">
              <w:rPr>
                <w:i/>
                <w:iCs/>
                <w:sz w:val="18"/>
                <w:szCs w:val="18"/>
                <w:lang w:val="en-US" w:eastAsia="ro-MD"/>
              </w:rPr>
              <w:t xml:space="preserve"> calculează </w:t>
            </w:r>
            <w:r w:rsidRPr="008070DB">
              <w:rPr>
                <w:i/>
                <w:iCs/>
                <w:sz w:val="18"/>
                <w:szCs w:val="18"/>
                <w:lang w:val="en-US" w:eastAsia="ro-MD"/>
              </w:rPr>
              <w:t xml:space="preserve"> </w:t>
            </w:r>
            <w:r w:rsidRPr="008070DB">
              <w:rPr>
                <w:i/>
                <w:iCs/>
                <w:noProof/>
                <w:sz w:val="18"/>
                <w:szCs w:val="18"/>
                <w:lang w:eastAsia="ro-MD"/>
              </w:rPr>
              <w:drawing>
                <wp:inline distT="0" distB="0" distL="0" distR="0" wp14:anchorId="7082E024" wp14:editId="26E0CD8A">
                  <wp:extent cx="424282" cy="220675"/>
                  <wp:effectExtent l="0" t="0" r="0" b="8255"/>
                  <wp:docPr id="41" name="Picture 4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322" cy="227457"/>
                          </a:xfrm>
                          <a:prstGeom prst="rect">
                            <a:avLst/>
                          </a:prstGeom>
                          <a:noFill/>
                          <a:ln>
                            <a:noFill/>
                          </a:ln>
                        </pic:spPr>
                      </pic:pic>
                    </a:graphicData>
                  </a:graphic>
                </wp:inline>
              </w:drawing>
            </w:r>
            <w:r w:rsidRPr="008070DB">
              <w:rPr>
                <w:i/>
                <w:iCs/>
                <w:sz w:val="18"/>
                <w:szCs w:val="18"/>
                <w:lang w:val="en-US" w:eastAsia="ro-MD"/>
              </w:rPr>
              <w:t xml:space="preserve"> în conformitate cu punctele 66-68, separat pentru fiecare subset ipotetic de compensare menționat la subpunctul 43.1.</w:t>
            </w:r>
          </w:p>
          <w:p w14:paraId="731DD63B"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r w:rsidRPr="008070DB">
              <w:rPr>
                <w:b/>
                <w:bCs/>
                <w:sz w:val="18"/>
                <w:szCs w:val="18"/>
                <w:lang w:val="ro-MD"/>
              </w:rPr>
              <w:t xml:space="preserve">44. </w:t>
            </w:r>
            <w:r w:rsidRPr="008070DB">
              <w:rPr>
                <w:sz w:val="18"/>
                <w:szCs w:val="18"/>
                <w:lang w:val="ro-MD"/>
              </w:rPr>
              <w:t xml:space="preserve">Băncile pot stabili ca valoarea expunerii să fie zero pentru un set de compensare care îndeplinește cumulativ următoarele condiţii: </w:t>
            </w:r>
          </w:p>
          <w:p w14:paraId="5AB09915"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44.1. setul de compensare este alcătuit exclusiv din opţiuni vândute; </w:t>
            </w:r>
          </w:p>
          <w:p w14:paraId="43ED9A03"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44.2. valoarea curentă de piaţă a setului de compensare este în orice moment negativă; </w:t>
            </w:r>
          </w:p>
          <w:p w14:paraId="0D3A47B3"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lastRenderedPageBreak/>
              <w:t xml:space="preserve">44.3. prima pentru toate opţiunile incluse în setul de compensare a fost primită în avans de către bancă pentru a garanta executarea contractelor; </w:t>
            </w:r>
          </w:p>
          <w:p w14:paraId="0FDD5301"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r w:rsidRPr="008070DB">
              <w:rPr>
                <w:sz w:val="18"/>
                <w:szCs w:val="18"/>
                <w:lang w:val="ro-MD"/>
              </w:rPr>
              <w:t xml:space="preserve">44.4. setul de compensare nu face obiectul niciunui contract în marjă. </w:t>
            </w:r>
          </w:p>
          <w:p w14:paraId="38C610F3"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bookmarkStart w:id="14" w:name="_Ref168995002"/>
            <w:r w:rsidRPr="008070DB">
              <w:rPr>
                <w:b/>
                <w:bCs/>
                <w:sz w:val="18"/>
                <w:szCs w:val="18"/>
                <w:lang w:val="ro-MD"/>
              </w:rPr>
              <w:t xml:space="preserve">45. </w:t>
            </w:r>
            <w:r w:rsidRPr="008070DB">
              <w:rPr>
                <w:sz w:val="18"/>
                <w:szCs w:val="18"/>
                <w:lang w:val="ro-MD"/>
              </w:rPr>
              <w:t>Într-un set de compensare, băncile înlocuiesc o tranzacţie care este o combinaţie liniară finită de opţiuni call sau put cumpărate sau vândute cu toate opţiunile individuale care formează combinaţia liniară respectivă, privite ca o tranzacţie individuală, pentru a calcula valoarea expunerii setului de compensare. Fiecare combinaţie de opţiuni de acest tip este considerată ca o tranzacţie individuală din setul de compensare în care este inclusă combinaţia pentru a calcula valoarea expunerii.</w:t>
            </w:r>
            <w:bookmarkEnd w:id="14"/>
            <w:r w:rsidRPr="008070DB">
              <w:rPr>
                <w:sz w:val="18"/>
                <w:szCs w:val="18"/>
                <w:lang w:val="ro-MD"/>
              </w:rPr>
              <w:t xml:space="preserve"> </w:t>
            </w:r>
          </w:p>
          <w:p w14:paraId="21850DF9" w14:textId="77777777" w:rsidR="00675A89" w:rsidRPr="008070DB" w:rsidRDefault="00675A89" w:rsidP="003456B0">
            <w:pPr>
              <w:tabs>
                <w:tab w:val="left" w:pos="780"/>
              </w:tabs>
              <w:autoSpaceDE w:val="0"/>
              <w:autoSpaceDN w:val="0"/>
              <w:adjustRightInd w:val="0"/>
              <w:spacing w:before="60" w:after="60"/>
              <w:jc w:val="both"/>
              <w:rPr>
                <w:b/>
                <w:bCs/>
                <w:sz w:val="18"/>
                <w:szCs w:val="18"/>
                <w:lang w:val="ro-MD"/>
              </w:rPr>
            </w:pPr>
            <w:r w:rsidRPr="008070DB">
              <w:rPr>
                <w:b/>
                <w:bCs/>
                <w:sz w:val="18"/>
                <w:szCs w:val="18"/>
                <w:lang w:val="ro-MD"/>
              </w:rPr>
              <w:t xml:space="preserve">46. </w:t>
            </w:r>
            <w:r w:rsidRPr="008070DB">
              <w:rPr>
                <w:sz w:val="18"/>
                <w:szCs w:val="18"/>
                <w:lang w:val="ro-MD"/>
              </w:rPr>
              <w:t>Prin derogare de la punctul 45, băncile înlocuiesc o opţiune digitală vanilla al cărei preţ de exercitare este egal cu K cu combinaţia relevantă de tip collar a două opţiuni vanilla call sau put vândute și cumpărate care îndeplinesc următoarele cerinţe:</w:t>
            </w:r>
            <w:r w:rsidRPr="008070DB">
              <w:rPr>
                <w:b/>
                <w:bCs/>
                <w:sz w:val="18"/>
                <w:szCs w:val="18"/>
                <w:lang w:val="ro-MD"/>
              </w:rPr>
              <w:t xml:space="preserve"> </w:t>
            </w:r>
          </w:p>
          <w:p w14:paraId="0875DF2E" w14:textId="77777777" w:rsidR="00675A89" w:rsidRPr="008070DB" w:rsidRDefault="00675A89" w:rsidP="003456B0">
            <w:pPr>
              <w:tabs>
                <w:tab w:val="left" w:pos="780"/>
              </w:tabs>
              <w:autoSpaceDE w:val="0"/>
              <w:autoSpaceDN w:val="0"/>
              <w:adjustRightInd w:val="0"/>
              <w:spacing w:before="60" w:after="60"/>
              <w:jc w:val="both"/>
              <w:rPr>
                <w:sz w:val="18"/>
                <w:szCs w:val="18"/>
                <w:lang w:val="en-US"/>
              </w:rPr>
            </w:pPr>
            <w:r w:rsidRPr="008070DB">
              <w:rPr>
                <w:sz w:val="18"/>
                <w:szCs w:val="18"/>
                <w:lang w:val="en-US"/>
              </w:rPr>
              <w:t xml:space="preserve">46.1. cele două opţiuni ale combinaţiei de tip collar au: </w:t>
            </w:r>
          </w:p>
          <w:p w14:paraId="2CFF9365" w14:textId="77777777" w:rsidR="00675A89" w:rsidRPr="008070DB" w:rsidRDefault="00675A89" w:rsidP="003456B0">
            <w:pPr>
              <w:tabs>
                <w:tab w:val="left" w:pos="780"/>
              </w:tabs>
              <w:autoSpaceDE w:val="0"/>
              <w:autoSpaceDN w:val="0"/>
              <w:adjustRightInd w:val="0"/>
              <w:spacing w:before="60" w:after="60"/>
              <w:jc w:val="both"/>
              <w:rPr>
                <w:sz w:val="18"/>
                <w:szCs w:val="18"/>
                <w:lang w:val="en-US"/>
              </w:rPr>
            </w:pPr>
            <w:r w:rsidRPr="008070DB">
              <w:rPr>
                <w:sz w:val="18"/>
                <w:szCs w:val="18"/>
                <w:lang w:val="en-US"/>
              </w:rPr>
              <w:t xml:space="preserve">46.1.1. aceeași dată de expirare și același preţ la vedere sau la termen al instrumentului-suport ca opţiunea digitală </w:t>
            </w:r>
            <w:proofErr w:type="gramStart"/>
            <w:r w:rsidRPr="008070DB">
              <w:rPr>
                <w:sz w:val="18"/>
                <w:szCs w:val="18"/>
                <w:lang w:val="en-US"/>
              </w:rPr>
              <w:t>vanilla;</w:t>
            </w:r>
            <w:proofErr w:type="gramEnd"/>
            <w:r w:rsidRPr="008070DB">
              <w:rPr>
                <w:sz w:val="18"/>
                <w:szCs w:val="18"/>
                <w:lang w:val="en-US"/>
              </w:rPr>
              <w:t xml:space="preserve"> </w:t>
            </w:r>
          </w:p>
          <w:p w14:paraId="63C65F8F" w14:textId="77777777" w:rsidR="00675A89" w:rsidRPr="008070DB" w:rsidRDefault="00675A89" w:rsidP="003456B0">
            <w:pPr>
              <w:tabs>
                <w:tab w:val="left" w:pos="780"/>
              </w:tabs>
              <w:autoSpaceDE w:val="0"/>
              <w:autoSpaceDN w:val="0"/>
              <w:adjustRightInd w:val="0"/>
              <w:spacing w:before="60" w:after="60"/>
              <w:jc w:val="both"/>
              <w:rPr>
                <w:sz w:val="18"/>
                <w:szCs w:val="18"/>
                <w:lang w:val="en-US"/>
              </w:rPr>
            </w:pPr>
            <w:r w:rsidRPr="008070DB">
              <w:rPr>
                <w:sz w:val="18"/>
                <w:szCs w:val="18"/>
                <w:lang w:val="en-US"/>
              </w:rPr>
              <w:t>46.1.2. preţuri de exercitare egale cu 0,95•K și, respectiv, 1,05•</w:t>
            </w:r>
            <w:proofErr w:type="gramStart"/>
            <w:r w:rsidRPr="008070DB">
              <w:rPr>
                <w:sz w:val="18"/>
                <w:szCs w:val="18"/>
                <w:lang w:val="en-US"/>
              </w:rPr>
              <w:t>K;</w:t>
            </w:r>
            <w:proofErr w:type="gramEnd"/>
            <w:r w:rsidRPr="008070DB">
              <w:rPr>
                <w:sz w:val="18"/>
                <w:szCs w:val="18"/>
                <w:lang w:val="en-US"/>
              </w:rPr>
              <w:t xml:space="preserve"> </w:t>
            </w:r>
          </w:p>
          <w:p w14:paraId="4C4CD0EF" w14:textId="77777777" w:rsidR="00675A89" w:rsidRPr="008070DB" w:rsidRDefault="00675A89" w:rsidP="003456B0">
            <w:pPr>
              <w:tabs>
                <w:tab w:val="left" w:pos="780"/>
              </w:tabs>
              <w:autoSpaceDE w:val="0"/>
              <w:autoSpaceDN w:val="0"/>
              <w:adjustRightInd w:val="0"/>
              <w:spacing w:before="60" w:after="60"/>
              <w:jc w:val="both"/>
              <w:rPr>
                <w:sz w:val="18"/>
                <w:szCs w:val="18"/>
                <w:lang w:val="en-US"/>
              </w:rPr>
            </w:pPr>
            <w:r w:rsidRPr="008070DB">
              <w:rPr>
                <w:sz w:val="18"/>
                <w:szCs w:val="18"/>
                <w:lang w:val="en-US"/>
              </w:rPr>
              <w:t xml:space="preserve">46.2. combinaţia de tip collar </w:t>
            </w:r>
            <w:proofErr w:type="gramStart"/>
            <w:r w:rsidRPr="008070DB">
              <w:rPr>
                <w:sz w:val="18"/>
                <w:szCs w:val="18"/>
                <w:lang w:val="en-US"/>
              </w:rPr>
              <w:t>reproduce</w:t>
            </w:r>
            <w:proofErr w:type="gramEnd"/>
            <w:r w:rsidRPr="008070DB">
              <w:rPr>
                <w:sz w:val="18"/>
                <w:szCs w:val="18"/>
                <w:lang w:val="en-US"/>
              </w:rPr>
              <w:t xml:space="preserve"> exact randamentul opţiunii digitale vanilla în afara intervalului dintre cele două preţuri de exercitare menţionate la subpunctul 46.1. </w:t>
            </w:r>
          </w:p>
          <w:p w14:paraId="39F82E73" w14:textId="77777777" w:rsidR="00675A89" w:rsidRPr="008070DB" w:rsidRDefault="00675A89" w:rsidP="003456B0">
            <w:pPr>
              <w:tabs>
                <w:tab w:val="left" w:pos="780"/>
              </w:tabs>
              <w:autoSpaceDE w:val="0"/>
              <w:autoSpaceDN w:val="0"/>
              <w:adjustRightInd w:val="0"/>
              <w:spacing w:before="60" w:after="60"/>
              <w:jc w:val="both"/>
              <w:rPr>
                <w:sz w:val="18"/>
                <w:szCs w:val="18"/>
                <w:lang w:val="ro-MD"/>
              </w:rPr>
            </w:pPr>
            <w:r w:rsidRPr="008070DB">
              <w:rPr>
                <w:b/>
                <w:bCs/>
                <w:sz w:val="18"/>
                <w:szCs w:val="18"/>
                <w:lang w:val="en-US"/>
              </w:rPr>
              <w:t xml:space="preserve">47. </w:t>
            </w:r>
            <w:r w:rsidRPr="008070DB">
              <w:rPr>
                <w:sz w:val="18"/>
                <w:szCs w:val="18"/>
                <w:lang w:val="en-US"/>
              </w:rPr>
              <w:t>Poziţia de risc a celor două opţiuni din combinaţia de tip collar menţionată la punctul 46 se calculează separat, în conformitate cu punctul 69.</w:t>
            </w:r>
          </w:p>
          <w:p w14:paraId="011AD284" w14:textId="77777777" w:rsidR="00675A89" w:rsidRPr="008070DB" w:rsidRDefault="00675A89" w:rsidP="003456B0">
            <w:pPr>
              <w:tabs>
                <w:tab w:val="left" w:pos="780"/>
              </w:tabs>
              <w:autoSpaceDE w:val="0"/>
              <w:autoSpaceDN w:val="0"/>
              <w:adjustRightInd w:val="0"/>
              <w:spacing w:before="60" w:after="60"/>
              <w:jc w:val="both"/>
              <w:rPr>
                <w:b/>
                <w:bCs/>
                <w:sz w:val="18"/>
                <w:szCs w:val="18"/>
                <w:lang w:val="ro-MD"/>
              </w:rPr>
            </w:pPr>
            <w:r w:rsidRPr="008070DB">
              <w:rPr>
                <w:b/>
                <w:bCs/>
                <w:sz w:val="18"/>
                <w:szCs w:val="18"/>
                <w:lang w:val="ro-MD"/>
              </w:rPr>
              <w:t xml:space="preserve">48. </w:t>
            </w:r>
            <w:r w:rsidRPr="008070DB">
              <w:rPr>
                <w:sz w:val="18"/>
                <w:szCs w:val="18"/>
                <w:lang w:val="ro-MD"/>
              </w:rPr>
              <w:t xml:space="preserve">Valoarea expunerii unei tranzacţii cu instrumente financiare derivate de credit care reprezintă o poziţie lungă în suport poate fi plafonată la valoarea primei neplătite restante, cu condiţia ca aceasta să fie tratată drept </w:t>
            </w:r>
            <w:r w:rsidRPr="008070DB">
              <w:rPr>
                <w:sz w:val="18"/>
                <w:szCs w:val="18"/>
                <w:lang w:val="ro-MD"/>
              </w:rPr>
              <w:lastRenderedPageBreak/>
              <w:t>propriul său set de compensare care nu face obiectul unui contract în marjă.</w:t>
            </w:r>
          </w:p>
          <w:p w14:paraId="5CE05A94" w14:textId="77777777" w:rsidR="001A4DE8" w:rsidRPr="008070DB" w:rsidRDefault="001A4DE8" w:rsidP="003456B0">
            <w:pPr>
              <w:tabs>
                <w:tab w:val="left" w:pos="780"/>
              </w:tabs>
              <w:autoSpaceDE w:val="0"/>
              <w:autoSpaceDN w:val="0"/>
              <w:adjustRightInd w:val="0"/>
              <w:spacing w:before="60" w:after="60"/>
              <w:jc w:val="both"/>
              <w:rPr>
                <w:b/>
                <w:bCs/>
                <w:sz w:val="18"/>
                <w:szCs w:val="18"/>
                <w:lang w:val="ro-MD"/>
              </w:rPr>
            </w:pPr>
          </w:p>
          <w:p w14:paraId="61578042"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5E5936ED"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2BE9695A"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7ECC391F"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6990431E"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66FF17C6"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2916C3C5"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4D0A3826"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0271BC27"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56693FF6"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6E256A60"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334EB97F"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1E637413"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14CFF911"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7CC20855"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6FCF3E5C"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76EF046D"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247F7EAB"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74EBD872"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7F369F2E"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3AEF34AF" w14:textId="77777777" w:rsidR="00366868" w:rsidRPr="008070DB" w:rsidRDefault="00366868" w:rsidP="003456B0">
            <w:pPr>
              <w:tabs>
                <w:tab w:val="left" w:pos="780"/>
              </w:tabs>
              <w:autoSpaceDE w:val="0"/>
              <w:autoSpaceDN w:val="0"/>
              <w:adjustRightInd w:val="0"/>
              <w:spacing w:before="60" w:after="60"/>
              <w:jc w:val="both"/>
              <w:rPr>
                <w:b/>
                <w:bCs/>
                <w:sz w:val="18"/>
                <w:szCs w:val="18"/>
                <w:lang w:val="ro-MD"/>
              </w:rPr>
            </w:pPr>
          </w:p>
          <w:p w14:paraId="2D80C93B" w14:textId="0D0437EF" w:rsidR="00366868" w:rsidRPr="008070DB" w:rsidRDefault="00366868" w:rsidP="003456B0">
            <w:pPr>
              <w:tabs>
                <w:tab w:val="left" w:pos="780"/>
              </w:tabs>
              <w:autoSpaceDE w:val="0"/>
              <w:autoSpaceDN w:val="0"/>
              <w:adjustRightInd w:val="0"/>
              <w:spacing w:before="60" w:after="60"/>
              <w:jc w:val="both"/>
              <w:rPr>
                <w:b/>
                <w:bCs/>
                <w:sz w:val="18"/>
                <w:szCs w:val="18"/>
                <w:lang w:val="ro-MD"/>
              </w:rPr>
            </w:pPr>
            <w:r w:rsidRPr="008070DB">
              <w:rPr>
                <w:b/>
                <w:bCs/>
                <w:i/>
                <w:iCs/>
                <w:sz w:val="18"/>
                <w:szCs w:val="18"/>
                <w:lang w:val="ro-RO" w:eastAsia="ro-MD"/>
              </w:rPr>
              <w:t xml:space="preserve">Prevederi existente - </w:t>
            </w:r>
            <w:r w:rsidRPr="008070DB">
              <w:rPr>
                <w:i/>
                <w:iCs/>
                <w:sz w:val="18"/>
                <w:szCs w:val="18"/>
                <w:lang w:val="ro-RO" w:eastAsia="ro-MD"/>
              </w:rPr>
              <w:t xml:space="preserve">Regulamentul nr.220/2025, </w:t>
            </w:r>
            <w:r w:rsidRPr="008070DB">
              <w:rPr>
                <w:b/>
                <w:bCs/>
                <w:i/>
                <w:iCs/>
                <w:sz w:val="18"/>
                <w:szCs w:val="18"/>
                <w:lang w:val="ro-RO" w:eastAsia="ro-MD"/>
              </w:rPr>
              <w:t>cu excepția pct.</w:t>
            </w:r>
            <w:r w:rsidR="005462EF" w:rsidRPr="008070DB">
              <w:rPr>
                <w:b/>
                <w:bCs/>
                <w:i/>
                <w:iCs/>
                <w:sz w:val="18"/>
                <w:szCs w:val="18"/>
                <w:lang w:val="ro-RO" w:eastAsia="ro-MD"/>
              </w:rPr>
              <w:t xml:space="preserve">43 - prevedere nouă - </w:t>
            </w:r>
            <w:r w:rsidR="005462EF" w:rsidRPr="008070DB">
              <w:rPr>
                <w:sz w:val="18"/>
                <w:szCs w:val="18"/>
                <w:lang w:val="ro-MD" w:eastAsia="ro-MD"/>
              </w:rPr>
              <w:t xml:space="preserve">Inclusă prin </w:t>
            </w:r>
            <w:r w:rsidR="005462EF" w:rsidRPr="008070DB">
              <w:rPr>
                <w:b/>
                <w:bCs/>
                <w:i/>
                <w:iCs/>
                <w:sz w:val="18"/>
                <w:szCs w:val="18"/>
                <w:lang w:val="ro-RO" w:eastAsia="ro-MD"/>
              </w:rPr>
              <w:t>Proiectul HCE al BNM de modificare a Regulamentului nr.220/2025</w:t>
            </w:r>
          </w:p>
        </w:tc>
        <w:tc>
          <w:tcPr>
            <w:tcW w:w="1554" w:type="dxa"/>
          </w:tcPr>
          <w:p w14:paraId="40B498FA" w14:textId="0F114D87" w:rsidR="001A4DE8" w:rsidRPr="00A96E09" w:rsidRDefault="00366868" w:rsidP="00C14AF6">
            <w:pPr>
              <w:jc w:val="both"/>
              <w:rPr>
                <w:sz w:val="18"/>
                <w:szCs w:val="18"/>
                <w:lang w:val="ro-MD"/>
              </w:rPr>
            </w:pPr>
            <w:r>
              <w:rPr>
                <w:sz w:val="18"/>
                <w:szCs w:val="18"/>
                <w:lang w:val="ro-MD"/>
              </w:rPr>
              <w:lastRenderedPageBreak/>
              <w:t>C</w:t>
            </w:r>
            <w:r w:rsidR="001A4DE8" w:rsidRPr="00A96E09">
              <w:rPr>
                <w:sz w:val="18"/>
                <w:szCs w:val="18"/>
                <w:lang w:val="ro-MD"/>
              </w:rPr>
              <w:t xml:space="preserve">ompatibil </w:t>
            </w:r>
          </w:p>
        </w:tc>
        <w:tc>
          <w:tcPr>
            <w:tcW w:w="4683" w:type="dxa"/>
            <w:tcBorders>
              <w:top w:val="single" w:sz="4" w:space="0" w:color="auto"/>
              <w:bottom w:val="single" w:sz="4" w:space="0" w:color="auto"/>
            </w:tcBorders>
          </w:tcPr>
          <w:p w14:paraId="7CF79C95" w14:textId="25D7DC35" w:rsidR="001A4DE8" w:rsidRPr="00A96E09" w:rsidRDefault="001A4DE8" w:rsidP="00C14AF6">
            <w:pPr>
              <w:jc w:val="both"/>
              <w:rPr>
                <w:sz w:val="18"/>
                <w:szCs w:val="18"/>
                <w:lang w:val="ro-MD"/>
              </w:rPr>
            </w:pPr>
          </w:p>
        </w:tc>
      </w:tr>
      <w:tr w:rsidR="001A4DE8" w:rsidRPr="00A96E09" w14:paraId="468781BE" w14:textId="77777777" w:rsidTr="00C14AF6">
        <w:trPr>
          <w:trHeight w:val="918"/>
        </w:trPr>
        <w:tc>
          <w:tcPr>
            <w:tcW w:w="3866" w:type="dxa"/>
          </w:tcPr>
          <w:p w14:paraId="6FA0CCAF" w14:textId="0F141F71" w:rsidR="001A4DE8" w:rsidRPr="00A96E09" w:rsidRDefault="001A4DE8" w:rsidP="003456B0">
            <w:pPr>
              <w:pStyle w:val="title-article-norm"/>
              <w:jc w:val="both"/>
              <w:rPr>
                <w:b/>
                <w:bCs/>
                <w:i w:val="0"/>
                <w:sz w:val="18"/>
                <w:szCs w:val="18"/>
              </w:rPr>
            </w:pPr>
            <w:r w:rsidRPr="00A96E09">
              <w:rPr>
                <w:iCs w:val="0"/>
                <w:sz w:val="18"/>
                <w:szCs w:val="18"/>
              </w:rPr>
              <w:lastRenderedPageBreak/>
              <w:t xml:space="preserve">Articolul 275 </w:t>
            </w:r>
            <w:r w:rsidRPr="00A96E09">
              <w:rPr>
                <w:b/>
                <w:bCs/>
                <w:i w:val="0"/>
                <w:sz w:val="18"/>
                <w:szCs w:val="18"/>
              </w:rPr>
              <w:t>Costul de înlocuire</w:t>
            </w:r>
          </w:p>
          <w:p w14:paraId="06D94FA3" w14:textId="77777777" w:rsidR="001A4DE8" w:rsidRPr="00A96E09" w:rsidRDefault="001A4DE8" w:rsidP="003456B0">
            <w:pPr>
              <w:pStyle w:val="title-article-norm"/>
              <w:jc w:val="both"/>
              <w:rPr>
                <w:i w:val="0"/>
                <w:sz w:val="18"/>
                <w:szCs w:val="18"/>
              </w:rPr>
            </w:pPr>
            <w:r w:rsidRPr="00A96E09">
              <w:rPr>
                <w:i w:val="0"/>
                <w:sz w:val="18"/>
                <w:szCs w:val="18"/>
              </w:rPr>
              <w:t xml:space="preserve">(1) Instituţiile calculează costul de înlocuire RC pentru seturile de compensare care nu fac obiectul </w:t>
            </w:r>
            <w:r w:rsidRPr="00A96E09">
              <w:rPr>
                <w:i w:val="0"/>
                <w:sz w:val="18"/>
                <w:szCs w:val="18"/>
              </w:rPr>
              <w:lastRenderedPageBreak/>
              <w:t>unui contract în marjă în conformitate cu următoarea formulă:</w:t>
            </w:r>
          </w:p>
          <w:p w14:paraId="59D0CFA5" w14:textId="77777777" w:rsidR="001A4DE8" w:rsidRPr="00A96E09" w:rsidRDefault="001A4DE8" w:rsidP="003456B0">
            <w:pPr>
              <w:pStyle w:val="title-article-norm"/>
              <w:jc w:val="both"/>
              <w:rPr>
                <w:i w:val="0"/>
                <w:sz w:val="18"/>
                <w:szCs w:val="18"/>
              </w:rPr>
            </w:pPr>
            <w:r w:rsidRPr="00A96E09">
              <w:rPr>
                <w:i w:val="0"/>
                <w:sz w:val="18"/>
                <w:szCs w:val="18"/>
              </w:rPr>
              <w:t xml:space="preserve">RC = </w:t>
            </w:r>
            <w:proofErr w:type="gramStart"/>
            <w:r w:rsidRPr="00A96E09">
              <w:rPr>
                <w:i w:val="0"/>
                <w:sz w:val="18"/>
                <w:szCs w:val="18"/>
              </w:rPr>
              <w:t>max{</w:t>
            </w:r>
            <w:proofErr w:type="gramEnd"/>
            <w:r w:rsidRPr="00A96E09">
              <w:rPr>
                <w:i w:val="0"/>
                <w:sz w:val="18"/>
                <w:szCs w:val="18"/>
              </w:rPr>
              <w:t>CMV – NICA, 0}</w:t>
            </w:r>
          </w:p>
          <w:p w14:paraId="3ABAC5F5" w14:textId="77777777" w:rsidR="001A4DE8" w:rsidRPr="00A96E09" w:rsidRDefault="001A4DE8" w:rsidP="003456B0">
            <w:pPr>
              <w:pStyle w:val="title-article-norm"/>
              <w:jc w:val="both"/>
              <w:rPr>
                <w:i w:val="0"/>
                <w:sz w:val="18"/>
                <w:szCs w:val="18"/>
              </w:rPr>
            </w:pPr>
            <w:r w:rsidRPr="00A96E09">
              <w:rPr>
                <w:i w:val="0"/>
                <w:sz w:val="18"/>
                <w:szCs w:val="18"/>
              </w:rPr>
              <w:t>(2) Instituţiile calculează costul de înlocuire pentru seturile de compensare individuale care fac obiectul unui contract în marjă în conformitate cu următoarea formulă:</w:t>
            </w:r>
          </w:p>
          <w:p w14:paraId="2A4919C1" w14:textId="77777777" w:rsidR="001A4DE8" w:rsidRPr="00A96E09" w:rsidRDefault="001A4DE8" w:rsidP="003456B0">
            <w:pPr>
              <w:pStyle w:val="title-article-norm"/>
              <w:jc w:val="both"/>
              <w:rPr>
                <w:i w:val="0"/>
                <w:sz w:val="18"/>
                <w:szCs w:val="18"/>
              </w:rPr>
            </w:pPr>
            <w:r w:rsidRPr="00A96E09">
              <w:rPr>
                <w:i w:val="0"/>
                <w:sz w:val="18"/>
                <w:szCs w:val="18"/>
              </w:rPr>
              <w:t xml:space="preserve">RC = </w:t>
            </w:r>
            <w:proofErr w:type="gramStart"/>
            <w:r w:rsidRPr="00A96E09">
              <w:rPr>
                <w:i w:val="0"/>
                <w:sz w:val="18"/>
                <w:szCs w:val="18"/>
              </w:rPr>
              <w:t>max{</w:t>
            </w:r>
            <w:proofErr w:type="gramEnd"/>
            <w:r w:rsidRPr="00A96E09">
              <w:rPr>
                <w:i w:val="0"/>
                <w:sz w:val="18"/>
                <w:szCs w:val="18"/>
              </w:rPr>
              <w:t>CMV – VM - NICA, TH + MTA – NICA, 0}</w:t>
            </w:r>
          </w:p>
          <w:p w14:paraId="516DBB1B" w14:textId="77777777" w:rsidR="001A4DE8" w:rsidRPr="00A96E09" w:rsidRDefault="001A4DE8" w:rsidP="003456B0">
            <w:pPr>
              <w:pStyle w:val="title-article-norm"/>
              <w:jc w:val="both"/>
              <w:rPr>
                <w:i w:val="0"/>
                <w:sz w:val="18"/>
                <w:szCs w:val="18"/>
              </w:rPr>
            </w:pPr>
            <w:r w:rsidRPr="00A96E09">
              <w:rPr>
                <w:i w:val="0"/>
                <w:sz w:val="18"/>
                <w:szCs w:val="18"/>
              </w:rPr>
              <w:t>unde:</w:t>
            </w:r>
          </w:p>
          <w:p w14:paraId="79AFEB46" w14:textId="77777777" w:rsidR="001A4DE8" w:rsidRPr="00A96E09" w:rsidRDefault="001A4DE8" w:rsidP="003456B0">
            <w:pPr>
              <w:pStyle w:val="title-article-norm"/>
              <w:jc w:val="both"/>
              <w:rPr>
                <w:i w:val="0"/>
                <w:sz w:val="18"/>
                <w:szCs w:val="18"/>
              </w:rPr>
            </w:pPr>
            <w:r w:rsidRPr="00A96E09">
              <w:rPr>
                <w:i w:val="0"/>
                <w:sz w:val="18"/>
                <w:szCs w:val="18"/>
              </w:rPr>
              <w:t xml:space="preserve">RC = costul de </w:t>
            </w:r>
            <w:proofErr w:type="gramStart"/>
            <w:r w:rsidRPr="00A96E09">
              <w:rPr>
                <w:i w:val="0"/>
                <w:sz w:val="18"/>
                <w:szCs w:val="18"/>
              </w:rPr>
              <w:t>înlocuire;</w:t>
            </w:r>
            <w:proofErr w:type="gramEnd"/>
          </w:p>
          <w:p w14:paraId="6CE1CEEB" w14:textId="77777777" w:rsidR="001A4DE8" w:rsidRPr="00A96E09" w:rsidRDefault="001A4DE8" w:rsidP="003456B0">
            <w:pPr>
              <w:pStyle w:val="title-article-norm"/>
              <w:jc w:val="both"/>
              <w:rPr>
                <w:i w:val="0"/>
                <w:sz w:val="18"/>
                <w:szCs w:val="18"/>
              </w:rPr>
            </w:pPr>
            <w:r w:rsidRPr="00A96E09">
              <w:rPr>
                <w:i w:val="0"/>
                <w:sz w:val="18"/>
                <w:szCs w:val="18"/>
              </w:rPr>
              <w:t xml:space="preserve">VM = valoarea ajustată în funcţie de volatilitate a marjei de variaţie nete primite sau furnizate, după caz, pentru setul de compensare în mod regulat pentru </w:t>
            </w:r>
            <w:proofErr w:type="gramStart"/>
            <w:r w:rsidRPr="00A96E09">
              <w:rPr>
                <w:i w:val="0"/>
                <w:sz w:val="18"/>
                <w:szCs w:val="18"/>
              </w:rPr>
              <w:t>a</w:t>
            </w:r>
            <w:proofErr w:type="gramEnd"/>
            <w:r w:rsidRPr="00A96E09">
              <w:rPr>
                <w:i w:val="0"/>
                <w:sz w:val="18"/>
                <w:szCs w:val="18"/>
              </w:rPr>
              <w:t xml:space="preserve"> atenua variaţiile valorii de piaţă curente a setului de </w:t>
            </w:r>
            <w:proofErr w:type="gramStart"/>
            <w:r w:rsidRPr="00A96E09">
              <w:rPr>
                <w:i w:val="0"/>
                <w:sz w:val="18"/>
                <w:szCs w:val="18"/>
              </w:rPr>
              <w:t>compensare;</w:t>
            </w:r>
            <w:proofErr w:type="gramEnd"/>
          </w:p>
          <w:p w14:paraId="2DCBFC31" w14:textId="77777777" w:rsidR="001A4DE8" w:rsidRPr="00A96E09" w:rsidRDefault="001A4DE8" w:rsidP="003456B0">
            <w:pPr>
              <w:pStyle w:val="title-article-norm"/>
              <w:jc w:val="both"/>
              <w:rPr>
                <w:i w:val="0"/>
                <w:sz w:val="18"/>
                <w:szCs w:val="18"/>
              </w:rPr>
            </w:pPr>
            <w:r w:rsidRPr="00A96E09">
              <w:rPr>
                <w:i w:val="0"/>
                <w:sz w:val="18"/>
                <w:szCs w:val="18"/>
              </w:rPr>
              <w:t>TH = pragul de marjă aplicabil setului de compensare conform contractului în marjă sub care instituţia nu poate solicita garanţii reale; și</w:t>
            </w:r>
          </w:p>
          <w:p w14:paraId="0596B028" w14:textId="77777777" w:rsidR="001A4DE8" w:rsidRPr="00A96E09" w:rsidRDefault="001A4DE8" w:rsidP="003456B0">
            <w:pPr>
              <w:pStyle w:val="title-article-norm"/>
              <w:jc w:val="both"/>
              <w:rPr>
                <w:i w:val="0"/>
                <w:sz w:val="18"/>
                <w:szCs w:val="18"/>
              </w:rPr>
            </w:pPr>
            <w:r w:rsidRPr="00A96E09">
              <w:rPr>
                <w:i w:val="0"/>
                <w:sz w:val="18"/>
                <w:szCs w:val="18"/>
              </w:rPr>
              <w:t>MTA = suma minimă de transfer aplicabilă setului de compensare conform contractului în marjă.</w:t>
            </w:r>
          </w:p>
          <w:p w14:paraId="00F0A588" w14:textId="77777777" w:rsidR="001A4DE8" w:rsidRPr="00A96E09" w:rsidRDefault="001A4DE8" w:rsidP="003456B0">
            <w:pPr>
              <w:pStyle w:val="title-article-norm"/>
              <w:jc w:val="both"/>
              <w:rPr>
                <w:i w:val="0"/>
                <w:sz w:val="18"/>
                <w:szCs w:val="18"/>
              </w:rPr>
            </w:pPr>
            <w:r w:rsidRPr="00A96E09">
              <w:rPr>
                <w:i w:val="0"/>
                <w:sz w:val="18"/>
                <w:szCs w:val="18"/>
              </w:rPr>
              <w:t xml:space="preserve">(3) Instituţiile calculează costul de înlocuire pentru seturile de compensare multiple care fac obiectul aceluiași contract în marjă în conformitate cu următoarea formulă: </w:t>
            </w:r>
          </w:p>
          <w:p w14:paraId="2B0B1252" w14:textId="77777777" w:rsidR="001A4DE8" w:rsidRPr="00A96E09" w:rsidRDefault="001A4DE8" w:rsidP="003456B0">
            <w:pPr>
              <w:pStyle w:val="title-article-norm"/>
              <w:jc w:val="both"/>
              <w:rPr>
                <w:i w:val="0"/>
                <w:sz w:val="18"/>
                <w:szCs w:val="18"/>
              </w:rPr>
            </w:pPr>
            <w:r w:rsidRPr="00A96E09">
              <w:rPr>
                <w:i w:val="0"/>
                <w:noProof/>
                <w:sz w:val="18"/>
                <w:szCs w:val="18"/>
              </w:rPr>
              <w:lastRenderedPageBreak/>
              <w:drawing>
                <wp:inline distT="0" distB="0" distL="0" distR="0" wp14:anchorId="73E38328" wp14:editId="7A2B8AB7">
                  <wp:extent cx="2654455" cy="491706"/>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6202" cy="519815"/>
                          </a:xfrm>
                          <a:prstGeom prst="rect">
                            <a:avLst/>
                          </a:prstGeom>
                          <a:noFill/>
                        </pic:spPr>
                      </pic:pic>
                    </a:graphicData>
                  </a:graphic>
                </wp:inline>
              </w:drawing>
            </w:r>
          </w:p>
          <w:p w14:paraId="62CAAB4E" w14:textId="77777777" w:rsidR="001A4DE8" w:rsidRPr="00A96E09" w:rsidRDefault="001A4DE8" w:rsidP="003456B0">
            <w:pPr>
              <w:pStyle w:val="title-article-norm"/>
              <w:jc w:val="both"/>
              <w:rPr>
                <w:i w:val="0"/>
                <w:sz w:val="18"/>
                <w:szCs w:val="18"/>
                <w:lang w:val="ro-MD"/>
              </w:rPr>
            </w:pPr>
            <w:r w:rsidRPr="00A96E09">
              <w:rPr>
                <w:i w:val="0"/>
                <w:sz w:val="18"/>
                <w:szCs w:val="18"/>
                <w:lang w:val="ro-MD"/>
              </w:rPr>
              <w:t>unde:</w:t>
            </w:r>
          </w:p>
          <w:p w14:paraId="141ABAAC" w14:textId="77777777" w:rsidR="001A4DE8" w:rsidRPr="00A96E09" w:rsidRDefault="001A4DE8" w:rsidP="003456B0">
            <w:pPr>
              <w:pStyle w:val="title-article-norm"/>
              <w:jc w:val="both"/>
              <w:rPr>
                <w:i w:val="0"/>
                <w:sz w:val="18"/>
                <w:szCs w:val="18"/>
              </w:rPr>
            </w:pPr>
            <w:r w:rsidRPr="00A96E09">
              <w:rPr>
                <w:i w:val="0"/>
                <w:sz w:val="18"/>
                <w:szCs w:val="18"/>
              </w:rPr>
              <w:t xml:space="preserve">RC = costul de </w:t>
            </w:r>
            <w:proofErr w:type="gramStart"/>
            <w:r w:rsidRPr="00A96E09">
              <w:rPr>
                <w:i w:val="0"/>
                <w:sz w:val="18"/>
                <w:szCs w:val="18"/>
              </w:rPr>
              <w:t>înlocuire;</w:t>
            </w:r>
            <w:proofErr w:type="gramEnd"/>
          </w:p>
          <w:p w14:paraId="607826DC" w14:textId="77777777" w:rsidR="001A4DE8" w:rsidRPr="00A96E09" w:rsidRDefault="001A4DE8" w:rsidP="003456B0">
            <w:pPr>
              <w:pStyle w:val="title-article-norm"/>
              <w:jc w:val="both"/>
              <w:rPr>
                <w:i w:val="0"/>
                <w:sz w:val="18"/>
                <w:szCs w:val="18"/>
              </w:rPr>
            </w:pPr>
            <w:r w:rsidRPr="00A96E09">
              <w:rPr>
                <w:i w:val="0"/>
                <w:sz w:val="18"/>
                <w:szCs w:val="18"/>
              </w:rPr>
              <w:t xml:space="preserve">i = indicele care desemnează seturile de compensare care fac obiectul contractului în marjă </w:t>
            </w:r>
            <w:proofErr w:type="gramStart"/>
            <w:r w:rsidRPr="00A96E09">
              <w:rPr>
                <w:i w:val="0"/>
                <w:sz w:val="18"/>
                <w:szCs w:val="18"/>
              </w:rPr>
              <w:t>individual;</w:t>
            </w:r>
            <w:proofErr w:type="gramEnd"/>
          </w:p>
          <w:p w14:paraId="7C779F9C" w14:textId="77777777" w:rsidR="001A4DE8" w:rsidRPr="00A96E09" w:rsidRDefault="001A4DE8" w:rsidP="003456B0">
            <w:pPr>
              <w:pStyle w:val="title-article-norm"/>
              <w:jc w:val="both"/>
              <w:rPr>
                <w:i w:val="0"/>
                <w:sz w:val="18"/>
                <w:szCs w:val="18"/>
              </w:rPr>
            </w:pPr>
            <w:r w:rsidRPr="00A96E09">
              <w:rPr>
                <w:i w:val="0"/>
                <w:sz w:val="18"/>
                <w:szCs w:val="18"/>
              </w:rPr>
              <w:t xml:space="preserve">CMV i = valoarea de piaţă curentă a setului de compensare </w:t>
            </w:r>
            <w:proofErr w:type="gramStart"/>
            <w:r w:rsidRPr="00A96E09">
              <w:rPr>
                <w:i w:val="0"/>
                <w:sz w:val="18"/>
                <w:szCs w:val="18"/>
              </w:rPr>
              <w:t>i;</w:t>
            </w:r>
            <w:proofErr w:type="gramEnd"/>
          </w:p>
          <w:p w14:paraId="14330DC6" w14:textId="77777777" w:rsidR="001A4DE8" w:rsidRPr="00A96E09" w:rsidRDefault="001A4DE8" w:rsidP="003456B0">
            <w:pPr>
              <w:pStyle w:val="title-article-norm"/>
              <w:jc w:val="both"/>
              <w:rPr>
                <w:i w:val="0"/>
                <w:sz w:val="18"/>
                <w:szCs w:val="18"/>
              </w:rPr>
            </w:pPr>
            <w:r w:rsidRPr="00A96E09">
              <w:rPr>
                <w:i w:val="0"/>
                <w:sz w:val="18"/>
                <w:szCs w:val="18"/>
              </w:rPr>
              <w:t xml:space="preserve">VM </w:t>
            </w:r>
            <w:r w:rsidRPr="00A96E09">
              <w:rPr>
                <w:i w:val="0"/>
                <w:sz w:val="18"/>
                <w:szCs w:val="18"/>
                <w:vertAlign w:val="subscript"/>
              </w:rPr>
              <w:t>MA</w:t>
            </w:r>
            <w:r w:rsidRPr="00A96E09">
              <w:rPr>
                <w:i w:val="0"/>
                <w:sz w:val="18"/>
                <w:szCs w:val="18"/>
              </w:rPr>
              <w:t xml:space="preserve"> = suma valorilor ajustate în funcţie de volatilitate ale garanţiilor reale primite sau furnizate, după caz, pentru seturi de compensare multiple în mod regulat cu scopul de </w:t>
            </w:r>
            <w:proofErr w:type="gramStart"/>
            <w:r w:rsidRPr="00A96E09">
              <w:rPr>
                <w:i w:val="0"/>
                <w:sz w:val="18"/>
                <w:szCs w:val="18"/>
              </w:rPr>
              <w:t>a</w:t>
            </w:r>
            <w:proofErr w:type="gramEnd"/>
            <w:r w:rsidRPr="00A96E09">
              <w:rPr>
                <w:i w:val="0"/>
                <w:sz w:val="18"/>
                <w:szCs w:val="18"/>
              </w:rPr>
              <w:t xml:space="preserve"> atenua variaţiile valorii de piaţă curente </w:t>
            </w:r>
            <w:proofErr w:type="gramStart"/>
            <w:r w:rsidRPr="00A96E09">
              <w:rPr>
                <w:i w:val="0"/>
                <w:sz w:val="18"/>
                <w:szCs w:val="18"/>
              </w:rPr>
              <w:t>a</w:t>
            </w:r>
            <w:proofErr w:type="gramEnd"/>
            <w:r w:rsidRPr="00A96E09">
              <w:rPr>
                <w:i w:val="0"/>
                <w:sz w:val="18"/>
                <w:szCs w:val="18"/>
              </w:rPr>
              <w:t xml:space="preserve"> acestora; și</w:t>
            </w:r>
          </w:p>
          <w:p w14:paraId="05A42034" w14:textId="77777777" w:rsidR="001A4DE8" w:rsidRPr="00A96E09" w:rsidRDefault="001A4DE8" w:rsidP="003456B0">
            <w:pPr>
              <w:pStyle w:val="title-article-norm"/>
              <w:jc w:val="both"/>
              <w:rPr>
                <w:i w:val="0"/>
                <w:sz w:val="18"/>
                <w:szCs w:val="18"/>
              </w:rPr>
            </w:pPr>
            <w:r w:rsidRPr="00A96E09">
              <w:rPr>
                <w:i w:val="0"/>
                <w:sz w:val="18"/>
                <w:szCs w:val="18"/>
              </w:rPr>
              <w:t xml:space="preserve">NICA </w:t>
            </w:r>
            <w:r w:rsidRPr="00A96E09">
              <w:rPr>
                <w:i w:val="0"/>
                <w:sz w:val="18"/>
                <w:szCs w:val="18"/>
                <w:vertAlign w:val="subscript"/>
              </w:rPr>
              <w:t xml:space="preserve">MA </w:t>
            </w:r>
            <w:r w:rsidRPr="00A96E09">
              <w:rPr>
                <w:i w:val="0"/>
                <w:sz w:val="18"/>
                <w:szCs w:val="18"/>
              </w:rPr>
              <w:t xml:space="preserve">= suma valorilor ajustate în funcţie de volatilitate ale garanţiilor reale primite sau furnizate, după caz, pentru seturi de compensare multiple, altele decât VM </w:t>
            </w:r>
            <w:proofErr w:type="gramStart"/>
            <w:r w:rsidRPr="00A96E09">
              <w:rPr>
                <w:i w:val="0"/>
                <w:sz w:val="18"/>
                <w:szCs w:val="18"/>
                <w:vertAlign w:val="subscript"/>
              </w:rPr>
              <w:t>MA .</w:t>
            </w:r>
            <w:proofErr w:type="gramEnd"/>
          </w:p>
          <w:p w14:paraId="21D006EE" w14:textId="04741202" w:rsidR="001A4DE8" w:rsidRPr="00A96E09" w:rsidRDefault="001A4DE8" w:rsidP="003456B0">
            <w:pPr>
              <w:pStyle w:val="title-article-norm"/>
              <w:jc w:val="both"/>
              <w:rPr>
                <w:i w:val="0"/>
                <w:sz w:val="18"/>
                <w:szCs w:val="18"/>
                <w:lang w:val="ro-MD"/>
              </w:rPr>
            </w:pPr>
            <w:r w:rsidRPr="00A96E09">
              <w:rPr>
                <w:i w:val="0"/>
                <w:sz w:val="18"/>
                <w:szCs w:val="18"/>
              </w:rPr>
              <w:t xml:space="preserve">În sensul primului paragraf, NICA </w:t>
            </w:r>
            <w:r w:rsidRPr="00A96E09">
              <w:rPr>
                <w:i w:val="0"/>
                <w:sz w:val="18"/>
                <w:szCs w:val="18"/>
                <w:vertAlign w:val="subscript"/>
              </w:rPr>
              <w:t>MA</w:t>
            </w:r>
            <w:r w:rsidRPr="00A96E09">
              <w:rPr>
                <w:i w:val="0"/>
                <w:sz w:val="18"/>
                <w:szCs w:val="18"/>
              </w:rPr>
              <w:t xml:space="preserve"> poate fi calculată la nivel de tranzacţie, la nivel de set de compensare sau la nivelul tuturor seturilor de compensare cărora li se aplică contractul în marjă, în funcţie de nivelul la care se aplică acesta.</w:t>
            </w:r>
          </w:p>
        </w:tc>
        <w:tc>
          <w:tcPr>
            <w:tcW w:w="4356" w:type="dxa"/>
          </w:tcPr>
          <w:p w14:paraId="737591FA"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i/>
                <w:iCs/>
                <w:color w:val="000000"/>
                <w:sz w:val="18"/>
                <w:szCs w:val="18"/>
                <w:lang w:val="ro-MD" w:eastAsia="en-US"/>
                <w14:ligatures w14:val="standardContextual"/>
              </w:rPr>
              <w:lastRenderedPageBreak/>
              <w:t>Secțiunea a 2-a</w:t>
            </w:r>
          </w:p>
          <w:p w14:paraId="006E1BA3"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Costul de înlocuire</w:t>
            </w:r>
          </w:p>
          <w:p w14:paraId="1B26DA6A" w14:textId="4D7B65B8" w:rsidR="001A4DE8" w:rsidRPr="008070DB" w:rsidRDefault="006A7B15"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4</w:t>
            </w:r>
            <w:r w:rsidR="008F0D1E" w:rsidRPr="008070DB">
              <w:rPr>
                <w:rFonts w:eastAsiaTheme="minorHAnsi"/>
                <w:b/>
                <w:bCs/>
                <w:color w:val="000000"/>
                <w:sz w:val="18"/>
                <w:szCs w:val="18"/>
                <w:lang w:val="ro-MD" w:eastAsia="en-US"/>
                <w14:ligatures w14:val="standardContextual"/>
              </w:rPr>
              <w:t>9</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costul de înlocuire RC pentru seturile de compensare care nu fac obiectul unui contract în marjă în conformitate cu următoarea formulă: </w:t>
            </w:r>
          </w:p>
          <w:p w14:paraId="3C95CFB4"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RC = max{CMV – NICA, 0}</w:t>
            </w:r>
          </w:p>
          <w:p w14:paraId="5A4DFE66" w14:textId="4645923C" w:rsidR="001A4DE8" w:rsidRPr="008070DB" w:rsidRDefault="006A7B15"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5</w:t>
            </w:r>
            <w:r w:rsidR="00C07F98" w:rsidRPr="008070DB">
              <w:rPr>
                <w:rFonts w:eastAsiaTheme="minorHAnsi"/>
                <w:b/>
                <w:bCs/>
                <w:color w:val="000000"/>
                <w:sz w:val="18"/>
                <w:szCs w:val="18"/>
                <w:lang w:val="ro-MD" w:eastAsia="en-US"/>
                <w14:ligatures w14:val="standardContextual"/>
              </w:rPr>
              <w:t>0</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costul de înlocuire pentru seturile de compensare individuale care fac obiectul unui contract în marjă în conformitate cu următoarea formulă: </w:t>
            </w:r>
          </w:p>
          <w:p w14:paraId="7D2574A7"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RC = max{CMV – VM - NICA, TH + MTA – NICA, 0}</w:t>
            </w:r>
          </w:p>
          <w:p w14:paraId="20F93690"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13AEEA96"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RC = costul de înlocuire; </w:t>
            </w:r>
          </w:p>
          <w:p w14:paraId="386A3FC7" w14:textId="6D49E644"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VM = valoarea ajustată în funcţie de volatilitatea marjei de variaţie nete primite sau furnizate, după caz, pentru setul de compensare în mod regulat pentru a atenua variaţiile valorii de piaţă curente a setului de compensare; </w:t>
            </w:r>
          </w:p>
          <w:p w14:paraId="5F1D937A"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TH = pragul de marjă aplicabil setului de compensare conform contractului în marjă sub care banca nu poate solicita garanţii reale; și </w:t>
            </w:r>
          </w:p>
          <w:p w14:paraId="0C3602CF" w14:textId="0F16753A" w:rsidR="00555E5C"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MTA = suma minimă de transfer aplicabilă setului de compensare conform contractului în marjă. </w:t>
            </w:r>
          </w:p>
          <w:p w14:paraId="4708063A" w14:textId="25E3ED59" w:rsidR="001A4DE8" w:rsidRPr="008070DB" w:rsidRDefault="006A7B15"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5</w:t>
            </w:r>
            <w:r w:rsidR="00C07F98" w:rsidRPr="008070DB">
              <w:rPr>
                <w:rFonts w:eastAsiaTheme="minorHAnsi"/>
                <w:b/>
                <w:bCs/>
                <w:color w:val="000000"/>
                <w:sz w:val="18"/>
                <w:szCs w:val="18"/>
                <w:lang w:val="ro-MD" w:eastAsia="en-US"/>
                <w14:ligatures w14:val="standardContextual"/>
              </w:rPr>
              <w:t>1</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Banca calculează costul de înlocuire pentru seturile de compensare multiple care fac obiectul aceluiași contract în marjă în conformitate cu următoarea formulă: </w:t>
            </w:r>
          </w:p>
          <w:p w14:paraId="19E3C307"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39E5AD09" wp14:editId="3B2C0D88">
                  <wp:extent cx="2591159" cy="209550"/>
                  <wp:effectExtent l="0" t="0" r="0" b="0"/>
                  <wp:docPr id="185388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2655" cy="214523"/>
                          </a:xfrm>
                          <a:prstGeom prst="rect">
                            <a:avLst/>
                          </a:prstGeom>
                          <a:noFill/>
                        </pic:spPr>
                      </pic:pic>
                    </a:graphicData>
                  </a:graphic>
                </wp:inline>
              </w:drawing>
            </w:r>
          </w:p>
          <w:p w14:paraId="51BDA2DB"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731D980D"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RC = costul de înlocuire; </w:t>
            </w:r>
          </w:p>
          <w:p w14:paraId="515F2B86"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i = indicele care desemnează seturile de compensare care fac obiectul contractului în marjă individual; </w:t>
            </w:r>
          </w:p>
          <w:p w14:paraId="4B1596CF"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CMVi = valoarea de piaţă curentă a setului de compensare i; </w:t>
            </w:r>
          </w:p>
          <w:p w14:paraId="164768F4" w14:textId="3AFDE0B3"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VM</w:t>
            </w:r>
            <w:r w:rsidRPr="008070DB">
              <w:rPr>
                <w:rFonts w:eastAsiaTheme="minorHAnsi"/>
                <w:color w:val="000000"/>
                <w:sz w:val="18"/>
                <w:szCs w:val="18"/>
                <w:vertAlign w:val="subscript"/>
                <w:lang w:val="ro-MD" w:eastAsia="en-US"/>
                <w14:ligatures w14:val="standardContextual"/>
              </w:rPr>
              <w:t>MA</w:t>
            </w:r>
            <w:r w:rsidRPr="008070DB">
              <w:rPr>
                <w:rFonts w:eastAsiaTheme="minorHAnsi"/>
                <w:color w:val="000000"/>
                <w:sz w:val="18"/>
                <w:szCs w:val="18"/>
                <w:lang w:val="ro-MD" w:eastAsia="en-US"/>
                <w14:ligatures w14:val="standardContextual"/>
              </w:rPr>
              <w:t xml:space="preserve"> = suma valorilor ajustate în funcţie de volatilitate</w:t>
            </w:r>
            <w:r w:rsidR="000A7685" w:rsidRPr="008070DB">
              <w:rPr>
                <w:rFonts w:eastAsiaTheme="minorHAnsi"/>
                <w:color w:val="000000"/>
                <w:sz w:val="18"/>
                <w:szCs w:val="18"/>
                <w:lang w:val="ro-MD" w:eastAsia="en-US"/>
                <w14:ligatures w14:val="standardContextual"/>
              </w:rPr>
              <w:t xml:space="preserve">a </w:t>
            </w:r>
            <w:r w:rsidRPr="008070DB">
              <w:rPr>
                <w:rFonts w:eastAsiaTheme="minorHAnsi"/>
                <w:color w:val="000000"/>
                <w:sz w:val="18"/>
                <w:szCs w:val="18"/>
                <w:lang w:val="ro-MD" w:eastAsia="en-US"/>
                <w14:ligatures w14:val="standardContextual"/>
              </w:rPr>
              <w:t xml:space="preserve">garanţiilor reale primite sau furnizate, după caz, pentru seturi de compensare multiple în mod regulat cu scopul de a atenua variaţiile valorii de piaţă curente a acestora; și </w:t>
            </w:r>
          </w:p>
          <w:p w14:paraId="4C9225BE" w14:textId="12C3F98F"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lastRenderedPageBreak/>
              <w:t>NICA</w:t>
            </w:r>
            <w:r w:rsidRPr="008070DB">
              <w:rPr>
                <w:rFonts w:eastAsiaTheme="minorHAnsi"/>
                <w:color w:val="000000"/>
                <w:sz w:val="18"/>
                <w:szCs w:val="18"/>
                <w:vertAlign w:val="subscript"/>
                <w:lang w:val="ro-MD" w:eastAsia="en-US"/>
                <w14:ligatures w14:val="standardContextual"/>
              </w:rPr>
              <w:t xml:space="preserve">MA </w:t>
            </w:r>
            <w:r w:rsidRPr="008070DB">
              <w:rPr>
                <w:rFonts w:eastAsiaTheme="minorHAnsi"/>
                <w:color w:val="000000"/>
                <w:sz w:val="18"/>
                <w:szCs w:val="18"/>
                <w:lang w:val="ro-MD" w:eastAsia="en-US"/>
                <w14:ligatures w14:val="standardContextual"/>
              </w:rPr>
              <w:t>= suma valorilor ajustate în funcţie de volatilitate</w:t>
            </w:r>
            <w:r w:rsidR="000A7685" w:rsidRPr="008070DB">
              <w:rPr>
                <w:rFonts w:eastAsiaTheme="minorHAnsi"/>
                <w:color w:val="000000"/>
                <w:sz w:val="18"/>
                <w:szCs w:val="18"/>
                <w:lang w:val="ro-MD" w:eastAsia="en-US"/>
                <w14:ligatures w14:val="standardContextual"/>
              </w:rPr>
              <w:t>a</w:t>
            </w:r>
            <w:r w:rsidRPr="008070DB">
              <w:rPr>
                <w:rFonts w:eastAsiaTheme="minorHAnsi"/>
                <w:color w:val="000000"/>
                <w:sz w:val="18"/>
                <w:szCs w:val="18"/>
                <w:lang w:val="ro-MD" w:eastAsia="en-US"/>
                <w14:ligatures w14:val="standardContextual"/>
              </w:rPr>
              <w:t xml:space="preserve"> garanţiilor reale primite sau furnizate, după caz, pentru seturi de compensare multiple, altele decât VM</w:t>
            </w:r>
            <w:r w:rsidRPr="008070DB">
              <w:rPr>
                <w:rFonts w:eastAsiaTheme="minorHAnsi"/>
                <w:color w:val="000000"/>
                <w:sz w:val="18"/>
                <w:szCs w:val="18"/>
                <w:vertAlign w:val="subscript"/>
                <w:lang w:val="ro-MD" w:eastAsia="en-US"/>
                <w14:ligatures w14:val="standardContextual"/>
              </w:rPr>
              <w:t>MA</w:t>
            </w:r>
            <w:r w:rsidRPr="008070DB">
              <w:rPr>
                <w:rFonts w:eastAsiaTheme="minorHAnsi"/>
                <w:color w:val="000000"/>
                <w:sz w:val="18"/>
                <w:szCs w:val="18"/>
                <w:lang w:val="ro-MD" w:eastAsia="en-US"/>
                <w14:ligatures w14:val="standardContextual"/>
              </w:rPr>
              <w:t xml:space="preserve"> . </w:t>
            </w:r>
          </w:p>
          <w:p w14:paraId="1DBEC058"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În sensul prezentului punct, NICA</w:t>
            </w:r>
            <w:r w:rsidRPr="008070DB">
              <w:rPr>
                <w:rFonts w:eastAsiaTheme="minorHAnsi"/>
                <w:color w:val="000000"/>
                <w:sz w:val="18"/>
                <w:szCs w:val="18"/>
                <w:vertAlign w:val="subscript"/>
                <w:lang w:val="ro-MD" w:eastAsia="en-US"/>
                <w14:ligatures w14:val="standardContextual"/>
              </w:rPr>
              <w:t xml:space="preserve">MA </w:t>
            </w:r>
            <w:r w:rsidRPr="008070DB">
              <w:rPr>
                <w:rFonts w:eastAsiaTheme="minorHAnsi"/>
                <w:color w:val="000000"/>
                <w:sz w:val="18"/>
                <w:szCs w:val="18"/>
                <w:lang w:val="ro-MD" w:eastAsia="en-US"/>
                <w14:ligatures w14:val="standardContextual"/>
              </w:rPr>
              <w:t xml:space="preserve">poate fi calculată la nivel de tranzacţie, la nivel de set de compensare sau la nivelul tuturor seturilor de compensare cărora li se aplică contractul în marjă, în funcţie de nivelul la care se aplică acesta. </w:t>
            </w:r>
          </w:p>
          <w:p w14:paraId="568B5FFD" w14:textId="77777777" w:rsidR="001A4DE8" w:rsidRPr="008070DB" w:rsidRDefault="001A4DE8" w:rsidP="003456B0">
            <w:pPr>
              <w:pStyle w:val="NoSpacing"/>
              <w:tabs>
                <w:tab w:val="left" w:pos="328"/>
              </w:tabs>
              <w:jc w:val="both"/>
              <w:rPr>
                <w:rFonts w:ascii="Times New Roman" w:hAnsi="Times New Roman" w:cs="Times New Roman"/>
                <w:b/>
                <w:bCs/>
                <w:sz w:val="18"/>
                <w:szCs w:val="18"/>
                <w:lang w:val="ro-MD"/>
              </w:rPr>
            </w:pPr>
          </w:p>
          <w:p w14:paraId="3F4B035A"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2E1FA099"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31CCA342"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1D4C09EE"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0375A809"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7318622D"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58019902"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5322000F"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0ED64838"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262A3B81"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636FD613"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13778ACB"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5ECC6840"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383CE244"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171C74BD"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4595B2D5"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1341D7C3"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57217094"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53684083"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7FD293C3"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3DF6D4E6"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0D86422B" w14:textId="77777777"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p w14:paraId="44A69AC6" w14:textId="7D682FA3" w:rsidR="00555E5C" w:rsidRPr="008070DB" w:rsidRDefault="00555E5C"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468C6E41" w14:textId="240FFD63"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6E977F6F" w14:textId="77777777" w:rsidR="001A4DE8" w:rsidRPr="00A96E09" w:rsidRDefault="001A4DE8" w:rsidP="00C14AF6">
            <w:pPr>
              <w:jc w:val="both"/>
              <w:rPr>
                <w:sz w:val="18"/>
                <w:szCs w:val="18"/>
                <w:lang w:val="ro-MD"/>
              </w:rPr>
            </w:pPr>
          </w:p>
        </w:tc>
      </w:tr>
      <w:tr w:rsidR="001A4DE8" w:rsidRPr="00A96E09" w14:paraId="2CD8523F" w14:textId="77777777" w:rsidTr="00555E5C">
        <w:trPr>
          <w:trHeight w:val="3859"/>
        </w:trPr>
        <w:tc>
          <w:tcPr>
            <w:tcW w:w="3866" w:type="dxa"/>
          </w:tcPr>
          <w:p w14:paraId="2A4F8F0F" w14:textId="12819FB3" w:rsidR="001A4DE8" w:rsidRPr="00A96E09" w:rsidRDefault="001A4DE8" w:rsidP="003456B0">
            <w:pPr>
              <w:pStyle w:val="title-article-norm"/>
              <w:jc w:val="both"/>
              <w:rPr>
                <w:b/>
                <w:bCs/>
                <w:i w:val="0"/>
                <w:sz w:val="18"/>
                <w:szCs w:val="18"/>
              </w:rPr>
            </w:pPr>
            <w:r w:rsidRPr="00A96E09">
              <w:rPr>
                <w:iCs w:val="0"/>
                <w:sz w:val="18"/>
                <w:szCs w:val="18"/>
              </w:rPr>
              <w:lastRenderedPageBreak/>
              <w:t xml:space="preserve">Articolul 276 </w:t>
            </w:r>
            <w:r w:rsidRPr="00A96E09">
              <w:rPr>
                <w:b/>
                <w:bCs/>
                <w:i w:val="0"/>
                <w:sz w:val="18"/>
                <w:szCs w:val="18"/>
              </w:rPr>
              <w:t>Recunoașterea și tratamentul aplicat garanţiilor reale</w:t>
            </w:r>
          </w:p>
          <w:p w14:paraId="492FFDFA" w14:textId="77777777" w:rsidR="001A4DE8" w:rsidRPr="00A96E09" w:rsidRDefault="001A4DE8" w:rsidP="003456B0">
            <w:pPr>
              <w:pStyle w:val="title-article-norm"/>
              <w:jc w:val="both"/>
              <w:rPr>
                <w:i w:val="0"/>
                <w:sz w:val="18"/>
                <w:szCs w:val="18"/>
              </w:rPr>
            </w:pPr>
            <w:r w:rsidRPr="00A96E09">
              <w:rPr>
                <w:i w:val="0"/>
                <w:sz w:val="18"/>
                <w:szCs w:val="18"/>
              </w:rPr>
              <w:t xml:space="preserve">(1) În sensul prezentei secţiuni, instituţiile calculează valoarea garanţiilor reale aferente VM, </w:t>
            </w:r>
            <w:proofErr w:type="gramStart"/>
            <w:r w:rsidRPr="00A96E09">
              <w:rPr>
                <w:i w:val="0"/>
                <w:sz w:val="18"/>
                <w:szCs w:val="18"/>
              </w:rPr>
              <w:t>VM</w:t>
            </w:r>
            <w:r w:rsidRPr="00A96E09">
              <w:rPr>
                <w:i w:val="0"/>
                <w:sz w:val="18"/>
                <w:szCs w:val="18"/>
                <w:vertAlign w:val="subscript"/>
              </w:rPr>
              <w:t>MA</w:t>
            </w:r>
            <w:r w:rsidRPr="00A96E09">
              <w:rPr>
                <w:i w:val="0"/>
                <w:sz w:val="18"/>
                <w:szCs w:val="18"/>
              </w:rPr>
              <w:t xml:space="preserve"> ,</w:t>
            </w:r>
            <w:proofErr w:type="gramEnd"/>
            <w:r w:rsidRPr="00A96E09">
              <w:rPr>
                <w:i w:val="0"/>
                <w:sz w:val="18"/>
                <w:szCs w:val="18"/>
              </w:rPr>
              <w:t xml:space="preserve"> NICA și </w:t>
            </w:r>
            <w:proofErr w:type="gramStart"/>
            <w:r w:rsidRPr="00A96E09">
              <w:rPr>
                <w:i w:val="0"/>
                <w:sz w:val="18"/>
                <w:szCs w:val="18"/>
              </w:rPr>
              <w:t>NICA</w:t>
            </w:r>
            <w:r w:rsidRPr="00A96E09">
              <w:rPr>
                <w:i w:val="0"/>
                <w:sz w:val="18"/>
                <w:szCs w:val="18"/>
                <w:vertAlign w:val="subscript"/>
              </w:rPr>
              <w:t>MA</w:t>
            </w:r>
            <w:r w:rsidRPr="00A96E09">
              <w:rPr>
                <w:i w:val="0"/>
                <w:sz w:val="18"/>
                <w:szCs w:val="18"/>
              </w:rPr>
              <w:t xml:space="preserve"> ,</w:t>
            </w:r>
            <w:proofErr w:type="gramEnd"/>
            <w:r w:rsidRPr="00A96E09">
              <w:rPr>
                <w:i w:val="0"/>
                <w:sz w:val="18"/>
                <w:szCs w:val="18"/>
              </w:rPr>
              <w:t xml:space="preserve"> prin aplicarea tuturor cerinţelor următoare:</w:t>
            </w:r>
          </w:p>
          <w:p w14:paraId="512F3D41" w14:textId="77777777" w:rsidR="001A4DE8" w:rsidRPr="00A96E09" w:rsidRDefault="001A4DE8" w:rsidP="003456B0">
            <w:pPr>
              <w:pStyle w:val="title-article-norm"/>
              <w:jc w:val="both"/>
              <w:rPr>
                <w:i w:val="0"/>
                <w:sz w:val="18"/>
                <w:szCs w:val="18"/>
              </w:rPr>
            </w:pPr>
            <w:r w:rsidRPr="00A96E09">
              <w:rPr>
                <w:i w:val="0"/>
                <w:sz w:val="18"/>
                <w:szCs w:val="18"/>
              </w:rPr>
              <w:t xml:space="preserve">(a) în cazul în care toate tranzacţiile incluse într-un set de compensare fac parte din portofoliul de tranzacţionare, sunt recunoscute numai garanţiile reale eligibile în temeiul articolelor 197 și </w:t>
            </w:r>
            <w:proofErr w:type="gramStart"/>
            <w:r w:rsidRPr="00A96E09">
              <w:rPr>
                <w:i w:val="0"/>
                <w:sz w:val="18"/>
                <w:szCs w:val="18"/>
              </w:rPr>
              <w:t>299;</w:t>
            </w:r>
            <w:proofErr w:type="gramEnd"/>
          </w:p>
          <w:p w14:paraId="1C4DD3DC" w14:textId="77777777" w:rsidR="001A4DE8" w:rsidRPr="00A96E09" w:rsidRDefault="001A4DE8" w:rsidP="003456B0">
            <w:pPr>
              <w:pStyle w:val="title-article-norm"/>
              <w:jc w:val="both"/>
              <w:rPr>
                <w:i w:val="0"/>
                <w:sz w:val="18"/>
                <w:szCs w:val="18"/>
              </w:rPr>
            </w:pPr>
            <w:r w:rsidRPr="00A96E09">
              <w:rPr>
                <w:i w:val="0"/>
                <w:sz w:val="18"/>
                <w:szCs w:val="18"/>
              </w:rPr>
              <w:t xml:space="preserve">(b) în cazul în care </w:t>
            </w:r>
            <w:proofErr w:type="gramStart"/>
            <w:r w:rsidRPr="00A96E09">
              <w:rPr>
                <w:i w:val="0"/>
                <w:sz w:val="18"/>
                <w:szCs w:val="18"/>
              </w:rPr>
              <w:t>un set</w:t>
            </w:r>
            <w:proofErr w:type="gramEnd"/>
            <w:r w:rsidRPr="00A96E09">
              <w:rPr>
                <w:i w:val="0"/>
                <w:sz w:val="18"/>
                <w:szCs w:val="18"/>
              </w:rPr>
              <w:t xml:space="preserve"> de compensare cuprinde cel puţin o tranzacţie din afara portofoliului de tranzacţionare, sunt recunoscute numai garanţiile reale eligibile în temeiul articolului </w:t>
            </w:r>
            <w:proofErr w:type="gramStart"/>
            <w:r w:rsidRPr="00A96E09">
              <w:rPr>
                <w:i w:val="0"/>
                <w:sz w:val="18"/>
                <w:szCs w:val="18"/>
              </w:rPr>
              <w:t>197;</w:t>
            </w:r>
            <w:proofErr w:type="gramEnd"/>
          </w:p>
          <w:p w14:paraId="70C57250" w14:textId="77777777" w:rsidR="001A4DE8" w:rsidRPr="00A96E09" w:rsidRDefault="001A4DE8" w:rsidP="003456B0">
            <w:pPr>
              <w:pStyle w:val="title-article-norm"/>
              <w:jc w:val="both"/>
              <w:rPr>
                <w:i w:val="0"/>
                <w:sz w:val="18"/>
                <w:szCs w:val="18"/>
              </w:rPr>
            </w:pPr>
            <w:r w:rsidRPr="00A96E09">
              <w:rPr>
                <w:i w:val="0"/>
                <w:sz w:val="18"/>
                <w:szCs w:val="18"/>
              </w:rPr>
              <w:t xml:space="preserve">(c) garanţiile reale primite de la o contraparte sunt recunoscute cu semn pozitiv, iar garanţiile reale furnizate unei contrapărţi sunt recunoscute cu semn </w:t>
            </w:r>
            <w:proofErr w:type="gramStart"/>
            <w:r w:rsidRPr="00A96E09">
              <w:rPr>
                <w:i w:val="0"/>
                <w:sz w:val="18"/>
                <w:szCs w:val="18"/>
              </w:rPr>
              <w:t>negativ;</w:t>
            </w:r>
            <w:proofErr w:type="gramEnd"/>
          </w:p>
          <w:p w14:paraId="61BF6DA2" w14:textId="77777777" w:rsidR="001A4DE8" w:rsidRPr="00A96E09" w:rsidRDefault="001A4DE8" w:rsidP="003456B0">
            <w:pPr>
              <w:pStyle w:val="title-article-norm"/>
              <w:jc w:val="both"/>
              <w:rPr>
                <w:i w:val="0"/>
                <w:sz w:val="18"/>
                <w:szCs w:val="18"/>
              </w:rPr>
            </w:pPr>
            <w:r w:rsidRPr="00A96E09">
              <w:rPr>
                <w:i w:val="0"/>
                <w:sz w:val="18"/>
                <w:szCs w:val="18"/>
              </w:rPr>
              <w:t xml:space="preserve">(d) valoarea ajustată pentru volatilitate </w:t>
            </w:r>
            <w:proofErr w:type="gramStart"/>
            <w:r w:rsidRPr="00A96E09">
              <w:rPr>
                <w:i w:val="0"/>
                <w:sz w:val="18"/>
                <w:szCs w:val="18"/>
              </w:rPr>
              <w:t>a</w:t>
            </w:r>
            <w:proofErr w:type="gramEnd"/>
            <w:r w:rsidRPr="00A96E09">
              <w:rPr>
                <w:i w:val="0"/>
                <w:sz w:val="18"/>
                <w:szCs w:val="18"/>
              </w:rPr>
              <w:t xml:space="preserve"> oricărui tip de garanţii reale primite sau furnizate se calculează în conformitate cu articolul 223; în scopul efectuării acestui calcul, instituţiile nu utilizează metoda prevăzută la articolul </w:t>
            </w:r>
            <w:proofErr w:type="gramStart"/>
            <w:r w:rsidRPr="00A96E09">
              <w:rPr>
                <w:i w:val="0"/>
                <w:sz w:val="18"/>
                <w:szCs w:val="18"/>
              </w:rPr>
              <w:t>225;</w:t>
            </w:r>
            <w:proofErr w:type="gramEnd"/>
          </w:p>
          <w:p w14:paraId="07DDC263" w14:textId="77777777" w:rsidR="001A4DE8" w:rsidRPr="00A96E09" w:rsidRDefault="001A4DE8" w:rsidP="003456B0">
            <w:pPr>
              <w:pStyle w:val="title-article-norm"/>
              <w:jc w:val="both"/>
              <w:rPr>
                <w:i w:val="0"/>
                <w:sz w:val="18"/>
                <w:szCs w:val="18"/>
              </w:rPr>
            </w:pPr>
            <w:r w:rsidRPr="00A96E09">
              <w:rPr>
                <w:i w:val="0"/>
                <w:sz w:val="18"/>
                <w:szCs w:val="18"/>
              </w:rPr>
              <w:t xml:space="preserve">(e) aceeași garanţie reală nu este inclusă în același timp și în VM, și în </w:t>
            </w:r>
            <w:proofErr w:type="gramStart"/>
            <w:r w:rsidRPr="00A96E09">
              <w:rPr>
                <w:i w:val="0"/>
                <w:sz w:val="18"/>
                <w:szCs w:val="18"/>
              </w:rPr>
              <w:t>NICA;</w:t>
            </w:r>
            <w:proofErr w:type="gramEnd"/>
          </w:p>
          <w:p w14:paraId="6176FDF8" w14:textId="77777777" w:rsidR="001A4DE8" w:rsidRPr="00A96E09" w:rsidRDefault="001A4DE8" w:rsidP="003456B0">
            <w:pPr>
              <w:pStyle w:val="title-article-norm"/>
              <w:jc w:val="both"/>
              <w:rPr>
                <w:i w:val="0"/>
                <w:sz w:val="18"/>
                <w:szCs w:val="18"/>
              </w:rPr>
            </w:pPr>
            <w:r w:rsidRPr="00A96E09">
              <w:rPr>
                <w:i w:val="0"/>
                <w:sz w:val="18"/>
                <w:szCs w:val="18"/>
              </w:rPr>
              <w:t xml:space="preserve">(f) aceeași garanţie reală nu este inclusă în același timp și în </w:t>
            </w:r>
            <w:proofErr w:type="gramStart"/>
            <w:r w:rsidRPr="00A96E09">
              <w:rPr>
                <w:i w:val="0"/>
                <w:sz w:val="18"/>
                <w:szCs w:val="18"/>
              </w:rPr>
              <w:t>VM</w:t>
            </w:r>
            <w:r w:rsidRPr="00A96E09">
              <w:rPr>
                <w:i w:val="0"/>
                <w:sz w:val="18"/>
                <w:szCs w:val="18"/>
                <w:vertAlign w:val="subscript"/>
              </w:rPr>
              <w:t>MA</w:t>
            </w:r>
            <w:r w:rsidRPr="00A96E09">
              <w:rPr>
                <w:i w:val="0"/>
                <w:sz w:val="18"/>
                <w:szCs w:val="18"/>
              </w:rPr>
              <w:t xml:space="preserve"> ,</w:t>
            </w:r>
            <w:proofErr w:type="gramEnd"/>
            <w:r w:rsidRPr="00A96E09">
              <w:rPr>
                <w:i w:val="0"/>
                <w:sz w:val="18"/>
                <w:szCs w:val="18"/>
              </w:rPr>
              <w:t xml:space="preserve"> și în </w:t>
            </w:r>
            <w:proofErr w:type="gramStart"/>
            <w:r w:rsidRPr="00A96E09">
              <w:rPr>
                <w:i w:val="0"/>
                <w:sz w:val="18"/>
                <w:szCs w:val="18"/>
              </w:rPr>
              <w:t>NICA</w:t>
            </w:r>
            <w:r w:rsidRPr="00A96E09">
              <w:rPr>
                <w:i w:val="0"/>
                <w:sz w:val="18"/>
                <w:szCs w:val="18"/>
                <w:vertAlign w:val="subscript"/>
              </w:rPr>
              <w:t>MA</w:t>
            </w:r>
            <w:r w:rsidRPr="00A96E09">
              <w:rPr>
                <w:i w:val="0"/>
                <w:sz w:val="18"/>
                <w:szCs w:val="18"/>
              </w:rPr>
              <w:t xml:space="preserve"> ;</w:t>
            </w:r>
            <w:proofErr w:type="gramEnd"/>
          </w:p>
          <w:p w14:paraId="2CFA012A" w14:textId="77777777" w:rsidR="001A4DE8" w:rsidRPr="00A96E09" w:rsidRDefault="001A4DE8" w:rsidP="003456B0">
            <w:pPr>
              <w:pStyle w:val="title-article-norm"/>
              <w:jc w:val="both"/>
              <w:rPr>
                <w:i w:val="0"/>
                <w:sz w:val="18"/>
                <w:szCs w:val="18"/>
              </w:rPr>
            </w:pPr>
            <w:r w:rsidRPr="00A96E09">
              <w:rPr>
                <w:i w:val="0"/>
                <w:sz w:val="18"/>
                <w:szCs w:val="18"/>
              </w:rPr>
              <w:t xml:space="preserve">(g) nicio garanţie reală furnizată de contraparte care este separată de activele contrapărţii </w:t>
            </w:r>
            <w:r w:rsidRPr="00A96E09">
              <w:rPr>
                <w:i w:val="0"/>
                <w:sz w:val="18"/>
                <w:szCs w:val="18"/>
              </w:rPr>
              <w:lastRenderedPageBreak/>
              <w:t xml:space="preserve">respective și, ca urmare a separării, este indisponibilă în caz de faliment sau în caz de intrare în stare de nerambursare ori de insolvenţă a contrapărţii respective nu este recunoscută în calcularea NICA și a </w:t>
            </w:r>
            <w:proofErr w:type="gramStart"/>
            <w:r w:rsidRPr="00A96E09">
              <w:rPr>
                <w:i w:val="0"/>
                <w:sz w:val="18"/>
                <w:szCs w:val="18"/>
              </w:rPr>
              <w:t>NICA</w:t>
            </w:r>
            <w:r w:rsidRPr="00A96E09">
              <w:rPr>
                <w:i w:val="0"/>
                <w:sz w:val="18"/>
                <w:szCs w:val="18"/>
                <w:vertAlign w:val="subscript"/>
              </w:rPr>
              <w:t>MA .</w:t>
            </w:r>
            <w:proofErr w:type="gramEnd"/>
          </w:p>
          <w:p w14:paraId="0E0B7B95" w14:textId="77777777" w:rsidR="001A4DE8" w:rsidRPr="00A96E09" w:rsidRDefault="001A4DE8" w:rsidP="003456B0">
            <w:pPr>
              <w:pStyle w:val="title-article-norm"/>
              <w:jc w:val="both"/>
              <w:rPr>
                <w:i w:val="0"/>
                <w:sz w:val="18"/>
                <w:szCs w:val="18"/>
              </w:rPr>
            </w:pPr>
            <w:r w:rsidRPr="00A96E09">
              <w:rPr>
                <w:i w:val="0"/>
                <w:sz w:val="18"/>
                <w:szCs w:val="18"/>
              </w:rPr>
              <w:t>(2) Pentru a calcula valoarea ajustată în funcţie de volatilitate a garanţiilor reale furnizate menţionate la alineatul (1) litera (d) de la prezentul articol, instituţiile înlocuiesc formula prevăzută la articolul 223 alineatul (2) cu formula următoare:</w:t>
            </w:r>
          </w:p>
          <w:p w14:paraId="6990B601" w14:textId="77777777" w:rsidR="001A4DE8" w:rsidRPr="00A96E09" w:rsidRDefault="001A4DE8" w:rsidP="003456B0">
            <w:pPr>
              <w:pStyle w:val="title-article-norm"/>
              <w:jc w:val="both"/>
              <w:rPr>
                <w:i w:val="0"/>
                <w:sz w:val="18"/>
                <w:szCs w:val="18"/>
              </w:rPr>
            </w:pPr>
            <w:r w:rsidRPr="00A96E09">
              <w:rPr>
                <w:i w:val="0"/>
                <w:sz w:val="18"/>
                <w:szCs w:val="18"/>
              </w:rPr>
              <w:t>C</w:t>
            </w:r>
            <w:r w:rsidRPr="00A96E09">
              <w:rPr>
                <w:i w:val="0"/>
                <w:sz w:val="18"/>
                <w:szCs w:val="18"/>
                <w:vertAlign w:val="subscript"/>
              </w:rPr>
              <w:t>VA</w:t>
            </w:r>
            <w:r w:rsidRPr="00A96E09">
              <w:rPr>
                <w:i w:val="0"/>
                <w:sz w:val="18"/>
                <w:szCs w:val="18"/>
              </w:rPr>
              <w:t xml:space="preserve"> = </w:t>
            </w:r>
            <w:proofErr w:type="gramStart"/>
            <w:r w:rsidRPr="00A96E09">
              <w:rPr>
                <w:i w:val="0"/>
                <w:sz w:val="18"/>
                <w:szCs w:val="18"/>
              </w:rPr>
              <w:t>C · (</w:t>
            </w:r>
            <w:proofErr w:type="gramEnd"/>
            <w:r w:rsidRPr="00A96E09">
              <w:rPr>
                <w:i w:val="0"/>
                <w:sz w:val="18"/>
                <w:szCs w:val="18"/>
              </w:rPr>
              <w:t>1 + H</w:t>
            </w:r>
            <w:r w:rsidRPr="00A96E09">
              <w:rPr>
                <w:i w:val="0"/>
                <w:sz w:val="18"/>
                <w:szCs w:val="18"/>
                <w:vertAlign w:val="subscript"/>
              </w:rPr>
              <w:t>c</w:t>
            </w:r>
            <w:r w:rsidRPr="00A96E09">
              <w:rPr>
                <w:i w:val="0"/>
                <w:sz w:val="18"/>
                <w:szCs w:val="18"/>
              </w:rPr>
              <w:t xml:space="preserve">+ </w:t>
            </w:r>
            <w:proofErr w:type="gramStart"/>
            <w:r w:rsidRPr="00A96E09">
              <w:rPr>
                <w:i w:val="0"/>
                <w:sz w:val="18"/>
                <w:szCs w:val="18"/>
              </w:rPr>
              <w:t>H</w:t>
            </w:r>
            <w:r w:rsidRPr="00A96E09">
              <w:rPr>
                <w:i w:val="0"/>
                <w:sz w:val="18"/>
                <w:szCs w:val="18"/>
                <w:vertAlign w:val="subscript"/>
              </w:rPr>
              <w:t xml:space="preserve">fx </w:t>
            </w:r>
            <w:r w:rsidRPr="00A96E09">
              <w:rPr>
                <w:i w:val="0"/>
                <w:sz w:val="18"/>
                <w:szCs w:val="18"/>
              </w:rPr>
              <w:t>)</w:t>
            </w:r>
            <w:proofErr w:type="gramEnd"/>
          </w:p>
          <w:p w14:paraId="6FA32B03" w14:textId="77777777" w:rsidR="001A4DE8" w:rsidRPr="00A96E09" w:rsidRDefault="001A4DE8" w:rsidP="003456B0">
            <w:pPr>
              <w:pStyle w:val="title-article-norm"/>
              <w:jc w:val="both"/>
              <w:rPr>
                <w:i w:val="0"/>
                <w:sz w:val="18"/>
                <w:szCs w:val="18"/>
              </w:rPr>
            </w:pPr>
            <w:r w:rsidRPr="00A96E09">
              <w:rPr>
                <w:i w:val="0"/>
                <w:sz w:val="18"/>
                <w:szCs w:val="18"/>
              </w:rPr>
              <w:t>unde:</w:t>
            </w:r>
          </w:p>
          <w:p w14:paraId="61B60C72" w14:textId="77777777" w:rsidR="001A4DE8" w:rsidRPr="00A96E09" w:rsidRDefault="001A4DE8" w:rsidP="003456B0">
            <w:pPr>
              <w:pStyle w:val="title-article-norm"/>
              <w:jc w:val="both"/>
              <w:rPr>
                <w:i w:val="0"/>
                <w:sz w:val="18"/>
                <w:szCs w:val="18"/>
              </w:rPr>
            </w:pPr>
            <w:r w:rsidRPr="00A96E09">
              <w:rPr>
                <w:i w:val="0"/>
                <w:sz w:val="18"/>
                <w:szCs w:val="18"/>
              </w:rPr>
              <w:t>C</w:t>
            </w:r>
            <w:r w:rsidRPr="00A96E09">
              <w:rPr>
                <w:i w:val="0"/>
                <w:sz w:val="18"/>
                <w:szCs w:val="18"/>
                <w:vertAlign w:val="subscript"/>
              </w:rPr>
              <w:t>VA</w:t>
            </w:r>
            <w:r w:rsidRPr="00A96E09">
              <w:rPr>
                <w:i w:val="0"/>
                <w:sz w:val="18"/>
                <w:szCs w:val="18"/>
              </w:rPr>
              <w:t xml:space="preserve"> = valoarea ajustată în funcţie de volatilitate a garanţiilor reale furnizate; și</w:t>
            </w:r>
          </w:p>
          <w:p w14:paraId="20086315" w14:textId="77777777" w:rsidR="001A4DE8" w:rsidRPr="00A96E09" w:rsidRDefault="001A4DE8" w:rsidP="003456B0">
            <w:pPr>
              <w:pStyle w:val="title-article-norm"/>
              <w:jc w:val="both"/>
              <w:rPr>
                <w:i w:val="0"/>
                <w:sz w:val="18"/>
                <w:szCs w:val="18"/>
              </w:rPr>
            </w:pPr>
            <w:r w:rsidRPr="00A96E09">
              <w:rPr>
                <w:i w:val="0"/>
                <w:sz w:val="18"/>
                <w:szCs w:val="18"/>
              </w:rPr>
              <w:t xml:space="preserve">C = garanţiile </w:t>
            </w:r>
            <w:proofErr w:type="gramStart"/>
            <w:r w:rsidRPr="00A96E09">
              <w:rPr>
                <w:i w:val="0"/>
                <w:sz w:val="18"/>
                <w:szCs w:val="18"/>
              </w:rPr>
              <w:t>reale;</w:t>
            </w:r>
            <w:proofErr w:type="gramEnd"/>
          </w:p>
          <w:p w14:paraId="7CCDE528" w14:textId="77777777" w:rsidR="001A4DE8" w:rsidRPr="00A96E09" w:rsidRDefault="001A4DE8" w:rsidP="003456B0">
            <w:pPr>
              <w:pStyle w:val="title-article-norm"/>
              <w:jc w:val="both"/>
              <w:rPr>
                <w:i w:val="0"/>
                <w:sz w:val="18"/>
                <w:szCs w:val="18"/>
              </w:rPr>
            </w:pPr>
            <w:r w:rsidRPr="00A96E09">
              <w:rPr>
                <w:i w:val="0"/>
                <w:sz w:val="18"/>
                <w:szCs w:val="18"/>
              </w:rPr>
              <w:t>H</w:t>
            </w:r>
            <w:r w:rsidRPr="00A96E09">
              <w:rPr>
                <w:i w:val="0"/>
                <w:sz w:val="18"/>
                <w:szCs w:val="18"/>
                <w:vertAlign w:val="subscript"/>
              </w:rPr>
              <w:t>c</w:t>
            </w:r>
            <w:r w:rsidRPr="00A96E09">
              <w:rPr>
                <w:i w:val="0"/>
                <w:sz w:val="18"/>
                <w:szCs w:val="18"/>
              </w:rPr>
              <w:t xml:space="preserve"> și H</w:t>
            </w:r>
            <w:r w:rsidRPr="00A96E09">
              <w:rPr>
                <w:i w:val="0"/>
                <w:sz w:val="18"/>
                <w:szCs w:val="18"/>
                <w:vertAlign w:val="subscript"/>
              </w:rPr>
              <w:t>fx</w:t>
            </w:r>
            <w:r w:rsidRPr="00A96E09">
              <w:rPr>
                <w:i w:val="0"/>
                <w:sz w:val="18"/>
                <w:szCs w:val="18"/>
              </w:rPr>
              <w:t xml:space="preserve"> sunt definite în conformitate cu articolul 223 alineatul (2).</w:t>
            </w:r>
          </w:p>
          <w:p w14:paraId="01DD2925" w14:textId="77777777" w:rsidR="001A4DE8" w:rsidRPr="00A96E09" w:rsidRDefault="001A4DE8" w:rsidP="003456B0">
            <w:pPr>
              <w:pStyle w:val="title-article-norm"/>
              <w:jc w:val="both"/>
              <w:rPr>
                <w:i w:val="0"/>
                <w:sz w:val="18"/>
                <w:szCs w:val="18"/>
              </w:rPr>
            </w:pPr>
            <w:r w:rsidRPr="00A96E09">
              <w:rPr>
                <w:i w:val="0"/>
                <w:sz w:val="18"/>
                <w:szCs w:val="18"/>
              </w:rPr>
              <w:t>(3) În sensul alineatului (1) litera (d), instituţiile stabilesc perioada de lichidare relevantă pentru calcularea valorii ajustate în funcţie de volatilitate a garanţiilor reale primite sau furnizate în conformitate cu unul dintre următoarele orizonturi de timp:</w:t>
            </w:r>
          </w:p>
          <w:p w14:paraId="1C801C6D" w14:textId="77777777" w:rsidR="001A4DE8" w:rsidRPr="00A96E09" w:rsidRDefault="001A4DE8" w:rsidP="003456B0">
            <w:pPr>
              <w:pStyle w:val="title-article-norm"/>
              <w:jc w:val="both"/>
              <w:rPr>
                <w:i w:val="0"/>
                <w:sz w:val="18"/>
                <w:szCs w:val="18"/>
              </w:rPr>
            </w:pPr>
            <w:r w:rsidRPr="00A96E09">
              <w:rPr>
                <w:i w:val="0"/>
                <w:sz w:val="18"/>
                <w:szCs w:val="18"/>
              </w:rPr>
              <w:t>(a) un an pentru seturile de compensare menţionate la articolul 275 alineatul (1</w:t>
            </w:r>
            <w:proofErr w:type="gramStart"/>
            <w:r w:rsidRPr="00A96E09">
              <w:rPr>
                <w:i w:val="0"/>
                <w:sz w:val="18"/>
                <w:szCs w:val="18"/>
              </w:rPr>
              <w:t>);</w:t>
            </w:r>
            <w:proofErr w:type="gramEnd"/>
          </w:p>
          <w:p w14:paraId="0F96EC87" w14:textId="7E1EB8C7" w:rsidR="001A4DE8" w:rsidRPr="00555E5C" w:rsidRDefault="001A4DE8" w:rsidP="003456B0">
            <w:pPr>
              <w:pStyle w:val="title-article-norm"/>
              <w:jc w:val="both"/>
              <w:rPr>
                <w:i w:val="0"/>
                <w:sz w:val="18"/>
                <w:szCs w:val="18"/>
              </w:rPr>
            </w:pPr>
            <w:r w:rsidRPr="00A96E09">
              <w:rPr>
                <w:i w:val="0"/>
                <w:sz w:val="18"/>
                <w:szCs w:val="18"/>
              </w:rPr>
              <w:t>(b) perioada de risc de marjă determinată în conformitate cu articolul 279c alineatul (1) litera (b) pentru seturile de compensare menţionate la articolul 275 alineatele (2) și (3).</w:t>
            </w:r>
          </w:p>
        </w:tc>
        <w:tc>
          <w:tcPr>
            <w:tcW w:w="4356" w:type="dxa"/>
          </w:tcPr>
          <w:p w14:paraId="768CBC23" w14:textId="77777777" w:rsidR="00C07F98" w:rsidRPr="008070DB" w:rsidRDefault="00C07F98" w:rsidP="003456B0">
            <w:pPr>
              <w:tabs>
                <w:tab w:val="left" w:pos="551"/>
              </w:tabs>
              <w:autoSpaceDE w:val="0"/>
              <w:autoSpaceDN w:val="0"/>
              <w:adjustRightInd w:val="0"/>
              <w:spacing w:before="60" w:after="60"/>
              <w:jc w:val="both"/>
              <w:rPr>
                <w:i/>
                <w:iCs/>
                <w:sz w:val="18"/>
                <w:szCs w:val="18"/>
                <w:lang w:val="en-US"/>
              </w:rPr>
            </w:pPr>
            <w:r w:rsidRPr="008070DB">
              <w:rPr>
                <w:i/>
                <w:iCs/>
                <w:sz w:val="18"/>
                <w:szCs w:val="18"/>
                <w:lang w:val="en-US"/>
              </w:rPr>
              <w:lastRenderedPageBreak/>
              <w:t>Secțiunea a 3-a</w:t>
            </w:r>
          </w:p>
          <w:p w14:paraId="101A8035" w14:textId="77777777" w:rsidR="00C07F98" w:rsidRPr="008070DB" w:rsidRDefault="00C07F98" w:rsidP="003456B0">
            <w:pPr>
              <w:tabs>
                <w:tab w:val="left" w:pos="551"/>
              </w:tabs>
              <w:autoSpaceDE w:val="0"/>
              <w:autoSpaceDN w:val="0"/>
              <w:adjustRightInd w:val="0"/>
              <w:spacing w:before="60" w:after="60"/>
              <w:jc w:val="both"/>
              <w:rPr>
                <w:b/>
                <w:bCs/>
                <w:sz w:val="18"/>
                <w:szCs w:val="18"/>
                <w:lang w:val="en-US"/>
              </w:rPr>
            </w:pPr>
            <w:r w:rsidRPr="008070DB">
              <w:rPr>
                <w:b/>
                <w:bCs/>
                <w:sz w:val="18"/>
                <w:szCs w:val="18"/>
                <w:lang w:val="en-US"/>
              </w:rPr>
              <w:t>Recunoașterea și tratamentul aplicat garanţiilor reale</w:t>
            </w:r>
          </w:p>
          <w:p w14:paraId="63B51D89" w14:textId="431834F8" w:rsidR="00C07F98" w:rsidRPr="008070DB" w:rsidRDefault="000A14A7" w:rsidP="003456B0">
            <w:pPr>
              <w:tabs>
                <w:tab w:val="left" w:pos="551"/>
              </w:tabs>
              <w:autoSpaceDE w:val="0"/>
              <w:autoSpaceDN w:val="0"/>
              <w:adjustRightInd w:val="0"/>
              <w:spacing w:before="60" w:after="60"/>
              <w:jc w:val="both"/>
              <w:rPr>
                <w:b/>
                <w:bCs/>
                <w:sz w:val="18"/>
                <w:szCs w:val="18"/>
                <w:lang w:val="en-US"/>
              </w:rPr>
            </w:pPr>
            <w:r w:rsidRPr="008070DB">
              <w:rPr>
                <w:b/>
                <w:bCs/>
                <w:sz w:val="18"/>
                <w:szCs w:val="18"/>
                <w:lang w:val="en-US"/>
              </w:rPr>
              <w:t>5</w:t>
            </w:r>
            <w:r w:rsidR="00C07F98" w:rsidRPr="008070DB">
              <w:rPr>
                <w:b/>
                <w:bCs/>
                <w:sz w:val="18"/>
                <w:szCs w:val="18"/>
                <w:lang w:val="en-US"/>
              </w:rPr>
              <w:t>2.</w:t>
            </w:r>
            <w:r w:rsidR="00C07F98" w:rsidRPr="008070DB">
              <w:rPr>
                <w:b/>
                <w:bCs/>
                <w:sz w:val="18"/>
                <w:szCs w:val="18"/>
                <w:lang w:val="en-US"/>
              </w:rPr>
              <w:tab/>
            </w:r>
            <w:r w:rsidR="00C07F98" w:rsidRPr="008070DB">
              <w:rPr>
                <w:sz w:val="18"/>
                <w:szCs w:val="18"/>
                <w:lang w:val="en-US"/>
              </w:rPr>
              <w:t>În sensul prezentei secţiuni, băncile calculează valoarea garanţiilor reale aferente VM, VM</w:t>
            </w:r>
            <w:r w:rsidR="00C07F98" w:rsidRPr="008070DB">
              <w:rPr>
                <w:sz w:val="18"/>
                <w:szCs w:val="18"/>
                <w:vertAlign w:val="subscript"/>
                <w:lang w:val="en-US"/>
              </w:rPr>
              <w:t>MA</w:t>
            </w:r>
            <w:r w:rsidR="00C07F98" w:rsidRPr="008070DB">
              <w:rPr>
                <w:sz w:val="18"/>
                <w:szCs w:val="18"/>
                <w:lang w:val="en-US"/>
              </w:rPr>
              <w:t>, NICA și NICA</w:t>
            </w:r>
            <w:r w:rsidR="00C07F98" w:rsidRPr="008070DB">
              <w:rPr>
                <w:sz w:val="18"/>
                <w:szCs w:val="18"/>
                <w:vertAlign w:val="subscript"/>
                <w:lang w:val="en-US"/>
              </w:rPr>
              <w:t>MA</w:t>
            </w:r>
            <w:r w:rsidR="00C07F98" w:rsidRPr="008070DB">
              <w:rPr>
                <w:sz w:val="18"/>
                <w:szCs w:val="18"/>
                <w:lang w:val="en-US"/>
              </w:rPr>
              <w:t xml:space="preserve">, prin aplicarea tuturor cerinţelor următoare: </w:t>
            </w:r>
          </w:p>
          <w:p w14:paraId="363AF806" w14:textId="2E3AC8B6"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2.1.</w:t>
            </w:r>
            <w:r w:rsidR="00C07F98" w:rsidRPr="008070DB">
              <w:rPr>
                <w:sz w:val="18"/>
                <w:szCs w:val="18"/>
                <w:lang w:val="en-US"/>
              </w:rPr>
              <w:tab/>
              <w:t xml:space="preserve">în cazul în care toate tranzacţiile incluse într-un set de compensare fac parte din portofoliul de tranzacţionare, sunt recunoscute numai garanţiile reale eligibile în temeiul punctului 25 din Regulamentul nr.112/2018 și punctelor </w:t>
            </w:r>
            <w:proofErr w:type="gramStart"/>
            <w:r w:rsidR="00C07F98" w:rsidRPr="008070DB">
              <w:rPr>
                <w:sz w:val="18"/>
                <w:szCs w:val="18"/>
                <w:lang w:val="en-US"/>
              </w:rPr>
              <w:t>1</w:t>
            </w:r>
            <w:r w:rsidRPr="008070DB">
              <w:rPr>
                <w:sz w:val="18"/>
                <w:szCs w:val="18"/>
                <w:lang w:val="en-US"/>
              </w:rPr>
              <w:t>1</w:t>
            </w:r>
            <w:r w:rsidR="00C07F98" w:rsidRPr="008070DB">
              <w:rPr>
                <w:sz w:val="18"/>
                <w:szCs w:val="18"/>
                <w:lang w:val="en-US"/>
              </w:rPr>
              <w:t>8-1</w:t>
            </w:r>
            <w:r w:rsidRPr="008070DB">
              <w:rPr>
                <w:sz w:val="18"/>
                <w:szCs w:val="18"/>
                <w:lang w:val="en-US"/>
              </w:rPr>
              <w:t>2</w:t>
            </w:r>
            <w:r w:rsidR="00C07F98" w:rsidRPr="008070DB">
              <w:rPr>
                <w:sz w:val="18"/>
                <w:szCs w:val="18"/>
                <w:lang w:val="en-US"/>
              </w:rPr>
              <w:t>4;</w:t>
            </w:r>
            <w:proofErr w:type="gramEnd"/>
            <w:r w:rsidR="00C07F98" w:rsidRPr="008070DB">
              <w:rPr>
                <w:sz w:val="18"/>
                <w:szCs w:val="18"/>
                <w:lang w:val="en-US"/>
              </w:rPr>
              <w:t xml:space="preserve"> </w:t>
            </w:r>
          </w:p>
          <w:p w14:paraId="0F49BD33" w14:textId="54EC0DAB"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2.2.</w:t>
            </w:r>
            <w:r w:rsidR="00C07F98" w:rsidRPr="008070DB">
              <w:rPr>
                <w:sz w:val="18"/>
                <w:szCs w:val="18"/>
                <w:lang w:val="en-US"/>
              </w:rPr>
              <w:tab/>
              <w:t xml:space="preserve">în cazul în care </w:t>
            </w:r>
            <w:proofErr w:type="gramStart"/>
            <w:r w:rsidR="00C07F98" w:rsidRPr="008070DB">
              <w:rPr>
                <w:sz w:val="18"/>
                <w:szCs w:val="18"/>
                <w:lang w:val="en-US"/>
              </w:rPr>
              <w:t>un set</w:t>
            </w:r>
            <w:proofErr w:type="gramEnd"/>
            <w:r w:rsidR="00C07F98" w:rsidRPr="008070DB">
              <w:rPr>
                <w:sz w:val="18"/>
                <w:szCs w:val="18"/>
                <w:lang w:val="en-US"/>
              </w:rPr>
              <w:t xml:space="preserve"> de compensare cuprinde cel puţin o tranzacţie din afara portofoliului de tranzacţionare, sunt recunoscute numai garanţiile reale eligibile în temeiul punctului 25 din Regulamentul nr.112/</w:t>
            </w:r>
            <w:proofErr w:type="gramStart"/>
            <w:r w:rsidR="00C07F98" w:rsidRPr="008070DB">
              <w:rPr>
                <w:sz w:val="18"/>
                <w:szCs w:val="18"/>
                <w:lang w:val="en-US"/>
              </w:rPr>
              <w:t>2018;</w:t>
            </w:r>
            <w:proofErr w:type="gramEnd"/>
            <w:r w:rsidR="00C07F98" w:rsidRPr="008070DB">
              <w:rPr>
                <w:sz w:val="18"/>
                <w:szCs w:val="18"/>
                <w:lang w:val="en-US"/>
              </w:rPr>
              <w:t xml:space="preserve"> </w:t>
            </w:r>
          </w:p>
          <w:p w14:paraId="1AEBF7CA" w14:textId="576692A1"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2.3.</w:t>
            </w:r>
            <w:r w:rsidR="00C07F98" w:rsidRPr="008070DB">
              <w:rPr>
                <w:sz w:val="18"/>
                <w:szCs w:val="18"/>
                <w:lang w:val="en-US"/>
              </w:rPr>
              <w:tab/>
              <w:t xml:space="preserve">garanţiile reale primite de la o contraparte sunt recunoscute cu semn pozitiv, iar garanţiile reale furnizate unei contrapărţi sunt recunoscute cu semn </w:t>
            </w:r>
            <w:proofErr w:type="gramStart"/>
            <w:r w:rsidR="00C07F98" w:rsidRPr="008070DB">
              <w:rPr>
                <w:sz w:val="18"/>
                <w:szCs w:val="18"/>
                <w:lang w:val="en-US"/>
              </w:rPr>
              <w:t>negativ;</w:t>
            </w:r>
            <w:proofErr w:type="gramEnd"/>
            <w:r w:rsidR="00C07F98" w:rsidRPr="008070DB">
              <w:rPr>
                <w:sz w:val="18"/>
                <w:szCs w:val="18"/>
                <w:lang w:val="en-US"/>
              </w:rPr>
              <w:t xml:space="preserve"> </w:t>
            </w:r>
          </w:p>
          <w:p w14:paraId="698DC4F1" w14:textId="0349A08B"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2.4.</w:t>
            </w:r>
            <w:r w:rsidR="00C07F98" w:rsidRPr="008070DB">
              <w:rPr>
                <w:sz w:val="18"/>
                <w:szCs w:val="18"/>
                <w:lang w:val="en-US"/>
              </w:rPr>
              <w:tab/>
              <w:t>valoarea ajustată pentru volatilitatea oricărui tip de garanţii reale primite sau furnizate se calculează în conformitate cu punctele 84-94 din Regulamentul nr.112/</w:t>
            </w:r>
            <w:proofErr w:type="gramStart"/>
            <w:r w:rsidR="00C07F98" w:rsidRPr="008070DB">
              <w:rPr>
                <w:sz w:val="18"/>
                <w:szCs w:val="18"/>
                <w:lang w:val="en-US"/>
              </w:rPr>
              <w:t>2018;</w:t>
            </w:r>
            <w:proofErr w:type="gramEnd"/>
            <w:r w:rsidR="00C07F98" w:rsidRPr="008070DB">
              <w:rPr>
                <w:sz w:val="18"/>
                <w:szCs w:val="18"/>
                <w:lang w:val="en-US"/>
              </w:rPr>
              <w:t xml:space="preserve">  </w:t>
            </w:r>
          </w:p>
          <w:p w14:paraId="7EC9331B" w14:textId="754CBA29"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2.5.</w:t>
            </w:r>
            <w:r w:rsidR="00C07F98" w:rsidRPr="008070DB">
              <w:rPr>
                <w:sz w:val="18"/>
                <w:szCs w:val="18"/>
                <w:lang w:val="en-US"/>
              </w:rPr>
              <w:tab/>
              <w:t xml:space="preserve">aceeași garanţie reală nu este inclusă în același timp și în VM, și în </w:t>
            </w:r>
            <w:proofErr w:type="gramStart"/>
            <w:r w:rsidR="00C07F98" w:rsidRPr="008070DB">
              <w:rPr>
                <w:sz w:val="18"/>
                <w:szCs w:val="18"/>
                <w:lang w:val="en-US"/>
              </w:rPr>
              <w:t>NICA;</w:t>
            </w:r>
            <w:proofErr w:type="gramEnd"/>
            <w:r w:rsidR="00C07F98" w:rsidRPr="008070DB">
              <w:rPr>
                <w:sz w:val="18"/>
                <w:szCs w:val="18"/>
                <w:lang w:val="en-US"/>
              </w:rPr>
              <w:t xml:space="preserve"> </w:t>
            </w:r>
          </w:p>
          <w:p w14:paraId="07BA7FAF" w14:textId="4ABD26BA"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2.6.</w:t>
            </w:r>
            <w:r w:rsidR="00C07F98" w:rsidRPr="008070DB">
              <w:rPr>
                <w:sz w:val="18"/>
                <w:szCs w:val="18"/>
                <w:lang w:val="en-US"/>
              </w:rPr>
              <w:tab/>
              <w:t>aceeași garanţie reală nu este inclusă în același timp și în VM</w:t>
            </w:r>
            <w:r w:rsidR="00C07F98" w:rsidRPr="008070DB">
              <w:rPr>
                <w:sz w:val="18"/>
                <w:szCs w:val="18"/>
                <w:vertAlign w:val="subscript"/>
                <w:lang w:val="en-US"/>
              </w:rPr>
              <w:t>MA</w:t>
            </w:r>
            <w:r w:rsidR="00C07F98" w:rsidRPr="008070DB">
              <w:rPr>
                <w:sz w:val="18"/>
                <w:szCs w:val="18"/>
                <w:lang w:val="en-US"/>
              </w:rPr>
              <w:t xml:space="preserve">, și în </w:t>
            </w:r>
            <w:proofErr w:type="gramStart"/>
            <w:r w:rsidR="00C07F98" w:rsidRPr="008070DB">
              <w:rPr>
                <w:sz w:val="18"/>
                <w:szCs w:val="18"/>
                <w:lang w:val="en-US"/>
              </w:rPr>
              <w:t>NICA</w:t>
            </w:r>
            <w:r w:rsidR="00C07F98" w:rsidRPr="008070DB">
              <w:rPr>
                <w:sz w:val="18"/>
                <w:szCs w:val="18"/>
                <w:vertAlign w:val="subscript"/>
                <w:lang w:val="en-US"/>
              </w:rPr>
              <w:t>MA</w:t>
            </w:r>
            <w:r w:rsidR="00C07F98" w:rsidRPr="008070DB">
              <w:rPr>
                <w:sz w:val="18"/>
                <w:szCs w:val="18"/>
                <w:lang w:val="en-US"/>
              </w:rPr>
              <w:t>;</w:t>
            </w:r>
            <w:proofErr w:type="gramEnd"/>
            <w:r w:rsidR="00C07F98" w:rsidRPr="008070DB">
              <w:rPr>
                <w:sz w:val="18"/>
                <w:szCs w:val="18"/>
                <w:lang w:val="en-US"/>
              </w:rPr>
              <w:t xml:space="preserve"> </w:t>
            </w:r>
          </w:p>
          <w:p w14:paraId="18C10D35" w14:textId="34E296CE"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5</w:t>
            </w:r>
            <w:r w:rsidR="00C07F98" w:rsidRPr="008070DB">
              <w:rPr>
                <w:sz w:val="18"/>
                <w:szCs w:val="18"/>
                <w:lang w:val="en-US"/>
              </w:rPr>
              <w:t>2.7.</w:t>
            </w:r>
            <w:r w:rsidR="00C07F98" w:rsidRPr="008070DB">
              <w:rPr>
                <w:sz w:val="18"/>
                <w:szCs w:val="18"/>
                <w:lang w:val="en-US"/>
              </w:rPr>
              <w:tab/>
              <w:t>nicio garanţie reală furnizată de contraparte care este separată de activele contrapărţii respective și, ca urmare a separării, este indisponibilă în caz de insovabilitate sau în caz de intrare în stare de nerambursare ori de insovabilitate a contrapărţii respective nu este recunoscută în calcularea NICA și a NICA</w:t>
            </w:r>
            <w:r w:rsidR="00C07F98" w:rsidRPr="008070DB">
              <w:rPr>
                <w:sz w:val="18"/>
                <w:szCs w:val="18"/>
                <w:vertAlign w:val="subscript"/>
                <w:lang w:val="en-US"/>
              </w:rPr>
              <w:t>MA</w:t>
            </w:r>
            <w:r w:rsidR="00C07F98" w:rsidRPr="008070DB">
              <w:rPr>
                <w:sz w:val="18"/>
                <w:szCs w:val="18"/>
                <w:lang w:val="en-US"/>
              </w:rPr>
              <w:t xml:space="preserve">. </w:t>
            </w:r>
          </w:p>
          <w:p w14:paraId="4124594F" w14:textId="3AA0B3D0" w:rsidR="00C07F98" w:rsidRPr="008070DB" w:rsidRDefault="000A14A7" w:rsidP="003456B0">
            <w:pPr>
              <w:tabs>
                <w:tab w:val="left" w:pos="551"/>
              </w:tabs>
              <w:autoSpaceDE w:val="0"/>
              <w:autoSpaceDN w:val="0"/>
              <w:adjustRightInd w:val="0"/>
              <w:spacing w:before="60" w:after="60"/>
              <w:jc w:val="both"/>
              <w:rPr>
                <w:sz w:val="18"/>
                <w:szCs w:val="18"/>
                <w:lang w:val="en-US"/>
              </w:rPr>
            </w:pPr>
            <w:r w:rsidRPr="008070DB">
              <w:rPr>
                <w:b/>
                <w:bCs/>
                <w:sz w:val="18"/>
                <w:szCs w:val="18"/>
                <w:lang w:val="en-US"/>
              </w:rPr>
              <w:t>5</w:t>
            </w:r>
            <w:r w:rsidR="00C07F98" w:rsidRPr="008070DB">
              <w:rPr>
                <w:b/>
                <w:bCs/>
                <w:sz w:val="18"/>
                <w:szCs w:val="18"/>
                <w:lang w:val="en-US"/>
              </w:rPr>
              <w:t>3.</w:t>
            </w:r>
            <w:r w:rsidR="00C07F98" w:rsidRPr="008070DB">
              <w:rPr>
                <w:b/>
                <w:bCs/>
                <w:sz w:val="18"/>
                <w:szCs w:val="18"/>
                <w:lang w:val="en-US"/>
              </w:rPr>
              <w:tab/>
            </w:r>
            <w:r w:rsidR="00C07F98" w:rsidRPr="008070DB">
              <w:rPr>
                <w:sz w:val="18"/>
                <w:szCs w:val="18"/>
                <w:lang w:val="en-US"/>
              </w:rPr>
              <w:t xml:space="preserve">Pentru a calcula valoarea ajustată în funcţie de volatilitatea garanţiilor reale furnizate menţionate la punctul </w:t>
            </w:r>
            <w:r w:rsidRPr="008070DB">
              <w:rPr>
                <w:sz w:val="18"/>
                <w:szCs w:val="18"/>
                <w:lang w:val="en-US"/>
              </w:rPr>
              <w:t>5</w:t>
            </w:r>
            <w:r w:rsidR="00C07F98" w:rsidRPr="008070DB">
              <w:rPr>
                <w:sz w:val="18"/>
                <w:szCs w:val="18"/>
                <w:lang w:val="en-US"/>
              </w:rPr>
              <w:t xml:space="preserve">2, subpunctul </w:t>
            </w:r>
            <w:r w:rsidRPr="008070DB">
              <w:rPr>
                <w:sz w:val="18"/>
                <w:szCs w:val="18"/>
                <w:lang w:val="en-US"/>
              </w:rPr>
              <w:t>5</w:t>
            </w:r>
            <w:r w:rsidR="00C07F98" w:rsidRPr="008070DB">
              <w:rPr>
                <w:sz w:val="18"/>
                <w:szCs w:val="18"/>
                <w:lang w:val="en-US"/>
              </w:rPr>
              <w:t xml:space="preserve">2.4., băncile înlocuiesc formula </w:t>
            </w:r>
            <w:r w:rsidR="00C07F98" w:rsidRPr="008070DB">
              <w:rPr>
                <w:sz w:val="18"/>
                <w:szCs w:val="18"/>
                <w:lang w:val="en-US"/>
              </w:rPr>
              <w:lastRenderedPageBreak/>
              <w:t xml:space="preserve">prevăzută la punctele 87 și 88 din Regulamentul nr.112/2018 cu formula următoare: </w:t>
            </w:r>
          </w:p>
          <w:p w14:paraId="2A83083D" w14:textId="77777777" w:rsidR="00C07F98" w:rsidRPr="008070DB" w:rsidRDefault="00C07F98"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 xml:space="preserve">CVA = </w:t>
            </w:r>
            <w:proofErr w:type="gramStart"/>
            <w:r w:rsidRPr="008070DB">
              <w:rPr>
                <w:sz w:val="18"/>
                <w:szCs w:val="18"/>
                <w:lang w:val="en-US"/>
              </w:rPr>
              <w:t>C · (</w:t>
            </w:r>
            <w:proofErr w:type="gramEnd"/>
            <w:r w:rsidRPr="008070DB">
              <w:rPr>
                <w:sz w:val="18"/>
                <w:szCs w:val="18"/>
                <w:lang w:val="en-US"/>
              </w:rPr>
              <w:t xml:space="preserve">1 + Hc + </w:t>
            </w:r>
            <w:proofErr w:type="gramStart"/>
            <w:r w:rsidRPr="008070DB">
              <w:rPr>
                <w:sz w:val="18"/>
                <w:szCs w:val="18"/>
                <w:lang w:val="en-US"/>
              </w:rPr>
              <w:t>Hfx )</w:t>
            </w:r>
            <w:proofErr w:type="gramEnd"/>
          </w:p>
          <w:p w14:paraId="7FDFCC25" w14:textId="77777777" w:rsidR="00C07F98" w:rsidRPr="008070DB" w:rsidRDefault="00C07F98"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 xml:space="preserve">unde: </w:t>
            </w:r>
          </w:p>
          <w:p w14:paraId="47A7AC4A" w14:textId="421EF8B3" w:rsidR="00C07F98" w:rsidRPr="008070DB" w:rsidRDefault="00C07F98"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C</w:t>
            </w:r>
            <w:r w:rsidRPr="008070DB">
              <w:rPr>
                <w:sz w:val="18"/>
                <w:szCs w:val="18"/>
                <w:vertAlign w:val="subscript"/>
                <w:lang w:val="en-US"/>
              </w:rPr>
              <w:t>VA</w:t>
            </w:r>
            <w:r w:rsidRPr="008070DB">
              <w:rPr>
                <w:sz w:val="18"/>
                <w:szCs w:val="18"/>
                <w:lang w:val="en-US"/>
              </w:rPr>
              <w:t xml:space="preserve"> = valoarea ajustată în funcţie de volatilitatea garanţiilor reale furnizate; și </w:t>
            </w:r>
          </w:p>
          <w:p w14:paraId="06896EAC" w14:textId="77777777" w:rsidR="00C07F98" w:rsidRPr="008070DB" w:rsidRDefault="00C07F98"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 xml:space="preserve">C = garanţiile </w:t>
            </w:r>
            <w:proofErr w:type="gramStart"/>
            <w:r w:rsidRPr="008070DB">
              <w:rPr>
                <w:sz w:val="18"/>
                <w:szCs w:val="18"/>
                <w:lang w:val="en-US"/>
              </w:rPr>
              <w:t>reale;</w:t>
            </w:r>
            <w:proofErr w:type="gramEnd"/>
            <w:r w:rsidRPr="008070DB">
              <w:rPr>
                <w:sz w:val="18"/>
                <w:szCs w:val="18"/>
                <w:lang w:val="en-US"/>
              </w:rPr>
              <w:t xml:space="preserve"> </w:t>
            </w:r>
          </w:p>
          <w:p w14:paraId="61678384" w14:textId="77777777" w:rsidR="00C07F98" w:rsidRPr="008070DB" w:rsidRDefault="00C07F98" w:rsidP="003456B0">
            <w:pPr>
              <w:tabs>
                <w:tab w:val="left" w:pos="551"/>
              </w:tabs>
              <w:autoSpaceDE w:val="0"/>
              <w:autoSpaceDN w:val="0"/>
              <w:adjustRightInd w:val="0"/>
              <w:spacing w:before="60" w:after="60"/>
              <w:jc w:val="both"/>
              <w:rPr>
                <w:sz w:val="18"/>
                <w:szCs w:val="18"/>
                <w:lang w:val="en-US"/>
              </w:rPr>
            </w:pPr>
            <w:r w:rsidRPr="008070DB">
              <w:rPr>
                <w:sz w:val="18"/>
                <w:szCs w:val="18"/>
                <w:lang w:val="en-US"/>
              </w:rPr>
              <w:t>H</w:t>
            </w:r>
            <w:r w:rsidRPr="008070DB">
              <w:rPr>
                <w:sz w:val="18"/>
                <w:szCs w:val="18"/>
                <w:vertAlign w:val="subscript"/>
                <w:lang w:val="en-US"/>
              </w:rPr>
              <w:t>c</w:t>
            </w:r>
            <w:r w:rsidRPr="008070DB">
              <w:rPr>
                <w:sz w:val="18"/>
                <w:szCs w:val="18"/>
                <w:lang w:val="en-US"/>
              </w:rPr>
              <w:t xml:space="preserve"> și H</w:t>
            </w:r>
            <w:r w:rsidRPr="008070DB">
              <w:rPr>
                <w:sz w:val="18"/>
                <w:szCs w:val="18"/>
                <w:vertAlign w:val="subscript"/>
                <w:lang w:val="en-US"/>
              </w:rPr>
              <w:t>fx</w:t>
            </w:r>
            <w:r w:rsidRPr="008070DB">
              <w:rPr>
                <w:sz w:val="18"/>
                <w:szCs w:val="18"/>
                <w:lang w:val="en-US"/>
              </w:rPr>
              <w:t xml:space="preserve"> sunt definite în conformitate cu punctul 87 din Regulamentul nr.112/2018.</w:t>
            </w:r>
          </w:p>
          <w:p w14:paraId="79C7CA94" w14:textId="77777777" w:rsidR="001A4DE8" w:rsidRPr="008070DB" w:rsidRDefault="000A14A7" w:rsidP="003456B0">
            <w:pPr>
              <w:tabs>
                <w:tab w:val="left" w:pos="551"/>
              </w:tabs>
              <w:autoSpaceDE w:val="0"/>
              <w:autoSpaceDN w:val="0"/>
              <w:adjustRightInd w:val="0"/>
              <w:spacing w:before="60" w:after="60"/>
              <w:jc w:val="both"/>
              <w:rPr>
                <w:sz w:val="18"/>
                <w:szCs w:val="18"/>
                <w:lang w:val="en-US"/>
              </w:rPr>
            </w:pPr>
            <w:r w:rsidRPr="008070DB">
              <w:rPr>
                <w:b/>
                <w:bCs/>
                <w:sz w:val="18"/>
                <w:szCs w:val="18"/>
                <w:lang w:val="en-US"/>
              </w:rPr>
              <w:t>5</w:t>
            </w:r>
            <w:r w:rsidR="00C07F98" w:rsidRPr="008070DB">
              <w:rPr>
                <w:b/>
                <w:bCs/>
                <w:sz w:val="18"/>
                <w:szCs w:val="18"/>
                <w:lang w:val="en-US"/>
              </w:rPr>
              <w:t>4.</w:t>
            </w:r>
            <w:r w:rsidR="00C07F98" w:rsidRPr="008070DB">
              <w:rPr>
                <w:b/>
                <w:bCs/>
                <w:sz w:val="18"/>
                <w:szCs w:val="18"/>
                <w:lang w:val="en-US"/>
              </w:rPr>
              <w:tab/>
            </w:r>
            <w:r w:rsidR="00C07F98" w:rsidRPr="008070DB">
              <w:rPr>
                <w:sz w:val="18"/>
                <w:szCs w:val="18"/>
                <w:lang w:val="en-US"/>
              </w:rPr>
              <w:t xml:space="preserve">În sensul punctului </w:t>
            </w:r>
            <w:r w:rsidRPr="008070DB">
              <w:rPr>
                <w:sz w:val="18"/>
                <w:szCs w:val="18"/>
                <w:lang w:val="en-US"/>
              </w:rPr>
              <w:t>5</w:t>
            </w:r>
            <w:r w:rsidR="00C07F98" w:rsidRPr="008070DB">
              <w:rPr>
                <w:sz w:val="18"/>
                <w:szCs w:val="18"/>
                <w:lang w:val="en-US"/>
              </w:rPr>
              <w:t xml:space="preserve">2 subpunctului </w:t>
            </w:r>
            <w:r w:rsidRPr="008070DB">
              <w:rPr>
                <w:sz w:val="18"/>
                <w:szCs w:val="18"/>
                <w:lang w:val="en-US"/>
              </w:rPr>
              <w:t>5</w:t>
            </w:r>
            <w:r w:rsidR="00C07F98" w:rsidRPr="008070DB">
              <w:rPr>
                <w:sz w:val="18"/>
                <w:szCs w:val="18"/>
                <w:lang w:val="en-US"/>
              </w:rPr>
              <w:t xml:space="preserve">2.4., băncile stabilesc perioada de lichidare relevantă pentru calcularea valorii ajustate în funcţie de volatilitatea garanţiilor reale primite sau furnizate timp de un an pentru seturile de compensare menţionate la punctul </w:t>
            </w:r>
            <w:r w:rsidRPr="008070DB">
              <w:rPr>
                <w:sz w:val="18"/>
                <w:szCs w:val="18"/>
                <w:lang w:val="en-US"/>
              </w:rPr>
              <w:t>4</w:t>
            </w:r>
            <w:r w:rsidR="00C07F98" w:rsidRPr="008070DB">
              <w:rPr>
                <w:sz w:val="18"/>
                <w:szCs w:val="18"/>
                <w:lang w:val="en-US"/>
              </w:rPr>
              <w:t>9.</w:t>
            </w:r>
          </w:p>
          <w:p w14:paraId="02C998E1"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4A298B1C"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16284E70"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3018B3A9"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2F13D4A2"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40374EF3"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3AF50665"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440AE605"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068245B3"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18A4D80A"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439975D7"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52AF79B5"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2AADE15F"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633E6CCE"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106A3C3E"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291B9624"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31159B74"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4C92A6BD" w14:textId="77777777" w:rsidR="00555E5C" w:rsidRPr="008070DB" w:rsidRDefault="00555E5C" w:rsidP="003456B0">
            <w:pPr>
              <w:tabs>
                <w:tab w:val="left" w:pos="551"/>
              </w:tabs>
              <w:autoSpaceDE w:val="0"/>
              <w:autoSpaceDN w:val="0"/>
              <w:adjustRightInd w:val="0"/>
              <w:spacing w:before="60" w:after="60"/>
              <w:jc w:val="both"/>
              <w:rPr>
                <w:sz w:val="18"/>
                <w:szCs w:val="18"/>
                <w:lang w:val="en-US"/>
              </w:rPr>
            </w:pPr>
          </w:p>
          <w:p w14:paraId="2BFCB1A3" w14:textId="7BA3A89E" w:rsidR="00555E5C" w:rsidRPr="008070DB" w:rsidRDefault="00555E5C" w:rsidP="003456B0">
            <w:pPr>
              <w:tabs>
                <w:tab w:val="left" w:pos="551"/>
              </w:tabs>
              <w:autoSpaceDE w:val="0"/>
              <w:autoSpaceDN w:val="0"/>
              <w:adjustRightInd w:val="0"/>
              <w:spacing w:before="60" w:after="60"/>
              <w:jc w:val="both"/>
              <w:rPr>
                <w:b/>
                <w:bCs/>
                <w:sz w:val="18"/>
                <w:szCs w:val="18"/>
                <w:lang w:val="en-US"/>
              </w:rPr>
            </w:pPr>
            <w:r w:rsidRPr="008070DB">
              <w:rPr>
                <w:b/>
                <w:bCs/>
                <w:i/>
                <w:iCs/>
                <w:sz w:val="18"/>
                <w:szCs w:val="18"/>
                <w:lang w:val="ro-RO" w:eastAsia="ro-MD"/>
              </w:rPr>
              <w:t xml:space="preserve">Prevederi existente - </w:t>
            </w:r>
            <w:r w:rsidRPr="008070DB">
              <w:rPr>
                <w:i/>
                <w:iCs/>
                <w:sz w:val="18"/>
                <w:szCs w:val="18"/>
                <w:lang w:val="ro-RO" w:eastAsia="ro-MD"/>
              </w:rPr>
              <w:t>Regulamentul nr.220/2025</w:t>
            </w:r>
          </w:p>
        </w:tc>
        <w:tc>
          <w:tcPr>
            <w:tcW w:w="1554" w:type="dxa"/>
          </w:tcPr>
          <w:p w14:paraId="183795B4" w14:textId="097478CE"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18453B77" w14:textId="77777777" w:rsidR="001A4DE8" w:rsidRPr="00A96E09" w:rsidRDefault="001A4DE8" w:rsidP="00C14AF6">
            <w:pPr>
              <w:jc w:val="both"/>
              <w:rPr>
                <w:sz w:val="18"/>
                <w:szCs w:val="18"/>
                <w:lang w:val="ro-MD"/>
              </w:rPr>
            </w:pPr>
          </w:p>
        </w:tc>
      </w:tr>
      <w:tr w:rsidR="001A4DE8" w:rsidRPr="00E57BBB" w14:paraId="7FF96E69" w14:textId="77777777" w:rsidTr="00C14AF6">
        <w:trPr>
          <w:trHeight w:val="918"/>
        </w:trPr>
        <w:tc>
          <w:tcPr>
            <w:tcW w:w="3866" w:type="dxa"/>
          </w:tcPr>
          <w:p w14:paraId="018BA728" w14:textId="3559FF91"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277 </w:t>
            </w:r>
            <w:r w:rsidRPr="00A96E09">
              <w:rPr>
                <w:rFonts w:eastAsiaTheme="minorHAnsi"/>
                <w:b/>
                <w:bCs/>
                <w:color w:val="000000"/>
                <w:sz w:val="18"/>
                <w:szCs w:val="18"/>
                <w:lang w:val="ro-MD" w:eastAsia="en-US"/>
              </w:rPr>
              <w:t>Încadrarea tranzacţiilor în categorii de risc</w:t>
            </w:r>
          </w:p>
          <w:p w14:paraId="65985AC2"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(1) Instituţiile încadrează fiecare tranzacţie dintr-un set de compensare într-una din următoarele categorii de risc pentru a determina expunerea viitoare potenţială a setului de compensare menţionată la articolul 278: </w:t>
            </w:r>
          </w:p>
          <w:p w14:paraId="20DEAB4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 riscul de rată a dobânzii; </w:t>
            </w:r>
          </w:p>
          <w:p w14:paraId="195DB031"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(b) riscul valutar; </w:t>
            </w:r>
          </w:p>
          <w:p w14:paraId="3A3D02C5"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(c) riscul de credit; </w:t>
            </w:r>
          </w:p>
          <w:p w14:paraId="51A0178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(d) riscul privind titlurile de capital; </w:t>
            </w:r>
          </w:p>
          <w:p w14:paraId="05B39FB1"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(e) riscul de marfă; </w:t>
            </w:r>
          </w:p>
          <w:p w14:paraId="5701F043"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(f) alte riscuri. </w:t>
            </w:r>
          </w:p>
          <w:p w14:paraId="006B2591"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(2) Instituţiile efectuează încadrarea menţionată la alineatul (1) în funcţie de determinantul de risc principal al unei tranzacţii cu instrumente financiare derivate. Determinantul de risc principal este singurul determinant de risc semnificativ al unei tranzacţii cu instrumente financiare derivate. </w:t>
            </w:r>
          </w:p>
          <w:p w14:paraId="298CDC62"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(3) Prin derogare de la alineatul (2), instituţiile încadrează tranzacţiile cu instrumente financiare derivate care au mai mult de un determinant de risc semnificativ în mai multe categorii de risc. În cazul în care toţi determinanţii de risc semnificativi ai uneia dintre aceste tranzacţii fac parte din aceeași categorie de risc, instituţiile nu sunt obligate să încadreze tranzacţia respectivă în categoria de risc respectivă decât o singură dată, pe baza celui mai semnificativ dintre determinanţii de risc. În cazul în care determinanţii de risc semnificativi ai uneia dintre aceste tranzacţii fac parte din categorii de risc diferite, instituţiile încadrează tranzacţia respectivă o singură dată în fiecare categorie de risc pentru care tranzacţia are cel puţin un determinant de risc semnificativ, pe baza celui mai semnificativ dintre determinanţii de risc din categoria de risc în cauză. </w:t>
            </w:r>
          </w:p>
          <w:p w14:paraId="1BEF51A1"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lastRenderedPageBreak/>
              <w:t xml:space="preserve">(4) În pofida alineatelor (1), (2) și (3), la încadrarea tranzacţiilor în categoriile de risc enumerate la alineatul (1), instituţiile aplică următoarele cerinţe: </w:t>
            </w:r>
          </w:p>
          <w:p w14:paraId="471B4B0B"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 în cazul în care determinantul de risc principal al unei tranzacţii sau cel mai semnificativ determinant de risc într-o anumită categorie de risc pentru tranzacţiile menţionate la alineatul (3) este o variabilă legată de inflaţie, instituţiile încadrează tranzacţia respectivă în categoria de risc de rată a dobânzii; </w:t>
            </w:r>
          </w:p>
          <w:p w14:paraId="7D1AB401"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(b) în cazul în care determinantul de risc principal al unei tranzacţii sau cel mai semnificativ determinant de risc într-o anumită categorie de risc pentru tranzacţiile menţionate la alineatul (3) este o variabilă legată de condiţiile climatice, instituţiile încadrează tranzacţia respectivă în categoria de risc de marfă. </w:t>
            </w:r>
          </w:p>
          <w:p w14:paraId="04788C25"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(5) ABE elaborează proiecte de standarde tehnice de reglementare pentru a preciza: </w:t>
            </w:r>
          </w:p>
          <w:p w14:paraId="1FA50BA2"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 metoda pentru identificarea tranzacţiilor cu un singur determinant de risc semnificativ; </w:t>
            </w:r>
          </w:p>
          <w:p w14:paraId="19BC156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(b) metoda pentru identificarea tranzacţiilor cu mai mult de un determinant de risc semnificativ și pentru identificarea celui mai semnificativ dintre determinanţii de risc respectivi în sensul alineatului (3). </w:t>
            </w:r>
          </w:p>
          <w:p w14:paraId="5F8ECCB0"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ABE prezintă Comisiei aceste proiecte de standarde tehnice de reglementare până la 28 decembrie 2019. </w:t>
            </w:r>
          </w:p>
          <w:p w14:paraId="6DD5569E" w14:textId="044F70D4" w:rsidR="001A4DE8" w:rsidRPr="00A96E09" w:rsidRDefault="001A4DE8" w:rsidP="003456B0">
            <w:pPr>
              <w:pStyle w:val="title-article-norm"/>
              <w:jc w:val="both"/>
              <w:rPr>
                <w:i w:val="0"/>
                <w:sz w:val="18"/>
                <w:szCs w:val="18"/>
                <w:lang w:val="ro-MD"/>
              </w:rPr>
            </w:pPr>
            <w:r w:rsidRPr="00A96E09">
              <w:rPr>
                <w:rFonts w:eastAsiaTheme="minorHAnsi"/>
                <w:i w:val="0"/>
                <w:iCs w:val="0"/>
                <w:color w:val="000000"/>
                <w:sz w:val="18"/>
                <w:szCs w:val="18"/>
                <w:lang w:val="ro-MD"/>
              </w:rPr>
              <w:t>Se deleagă Comisiei competenţa de a completa prezentul regulament prin adoptarea standardelor tehnice de reglementare menţionate la primul paragraf în conformitate cu articolele 10-14 din Regulamentul (UE) nr. 1093/2010.</w:t>
            </w:r>
          </w:p>
        </w:tc>
        <w:tc>
          <w:tcPr>
            <w:tcW w:w="4356" w:type="dxa"/>
          </w:tcPr>
          <w:p w14:paraId="76A83646" w14:textId="77777777" w:rsidR="001A4DE8" w:rsidRPr="008070DB" w:rsidRDefault="001A4DE8"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i/>
                <w:iCs/>
                <w:color w:val="000000"/>
                <w:sz w:val="18"/>
                <w:szCs w:val="18"/>
                <w:lang w:val="ro-MD" w:eastAsia="en-US"/>
                <w14:ligatures w14:val="standardContextual"/>
              </w:rPr>
              <w:lastRenderedPageBreak/>
              <w:t xml:space="preserve">Secțiunea a 4-a </w:t>
            </w:r>
          </w:p>
          <w:p w14:paraId="2E3723A7" w14:textId="77777777" w:rsidR="001A4DE8" w:rsidRPr="008070DB" w:rsidRDefault="001A4DE8" w:rsidP="003456B0">
            <w:pPr>
              <w:tabs>
                <w:tab w:val="left" w:pos="0"/>
              </w:tabs>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Încadrarea tranzacţiilor în categorii de risc</w:t>
            </w:r>
          </w:p>
          <w:p w14:paraId="41D0C7A2" w14:textId="33620EA7" w:rsidR="00C07F98"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5</w:t>
            </w:r>
            <w:r w:rsidR="00C07F98" w:rsidRPr="008070DB">
              <w:rPr>
                <w:rFonts w:ascii="Times New Roman" w:hAnsi="Times New Roman" w:cs="Times New Roman"/>
                <w:b/>
                <w:bCs/>
                <w:sz w:val="18"/>
                <w:szCs w:val="18"/>
                <w:lang w:val="ro-MD"/>
              </w:rPr>
              <w:t>5.</w:t>
            </w:r>
            <w:r w:rsidR="00C07F98" w:rsidRPr="008070DB">
              <w:rPr>
                <w:rFonts w:ascii="Times New Roman" w:hAnsi="Times New Roman" w:cs="Times New Roman"/>
                <w:b/>
                <w:bCs/>
                <w:sz w:val="18"/>
                <w:szCs w:val="18"/>
                <w:lang w:val="ro-MD"/>
              </w:rPr>
              <w:tab/>
            </w:r>
            <w:r w:rsidR="00C07F98" w:rsidRPr="008070DB">
              <w:rPr>
                <w:rFonts w:ascii="Times New Roman" w:hAnsi="Times New Roman" w:cs="Times New Roman"/>
                <w:sz w:val="18"/>
                <w:szCs w:val="18"/>
                <w:lang w:val="ro-MD"/>
              </w:rPr>
              <w:t xml:space="preserve">Băncile încadrează fiecare tranzacţie dintr-un set de compensare într-una din următoarele categorii de risc pentru a determina expunerea viitoare potenţială a setului de compensare menţionată la punctele </w:t>
            </w:r>
            <w:r w:rsidRPr="008070DB">
              <w:rPr>
                <w:rFonts w:ascii="Times New Roman" w:hAnsi="Times New Roman" w:cs="Times New Roman"/>
                <w:sz w:val="18"/>
                <w:szCs w:val="18"/>
                <w:lang w:val="ro-MD"/>
              </w:rPr>
              <w:t>6</w:t>
            </w:r>
            <w:r w:rsidR="00C07F98" w:rsidRPr="008070DB">
              <w:rPr>
                <w:rFonts w:ascii="Times New Roman" w:hAnsi="Times New Roman" w:cs="Times New Roman"/>
                <w:sz w:val="18"/>
                <w:szCs w:val="18"/>
                <w:lang w:val="ro-MD"/>
              </w:rPr>
              <w:t>6-</w:t>
            </w:r>
            <w:r w:rsidRPr="008070DB">
              <w:rPr>
                <w:rFonts w:ascii="Times New Roman" w:hAnsi="Times New Roman" w:cs="Times New Roman"/>
                <w:sz w:val="18"/>
                <w:szCs w:val="18"/>
                <w:lang w:val="ro-MD"/>
              </w:rPr>
              <w:t>6</w:t>
            </w:r>
            <w:r w:rsidR="00C07F98" w:rsidRPr="008070DB">
              <w:rPr>
                <w:rFonts w:ascii="Times New Roman" w:hAnsi="Times New Roman" w:cs="Times New Roman"/>
                <w:sz w:val="18"/>
                <w:szCs w:val="18"/>
                <w:lang w:val="ro-MD"/>
              </w:rPr>
              <w:t xml:space="preserve">8: </w:t>
            </w:r>
          </w:p>
          <w:p w14:paraId="0187610E" w14:textId="77777777" w:rsidR="00C07F98" w:rsidRPr="008070DB" w:rsidRDefault="00C07F9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65.1.</w:t>
            </w:r>
            <w:r w:rsidRPr="008070DB">
              <w:rPr>
                <w:rFonts w:ascii="Times New Roman" w:hAnsi="Times New Roman" w:cs="Times New Roman"/>
                <w:sz w:val="18"/>
                <w:szCs w:val="18"/>
                <w:lang w:val="ro-MD"/>
              </w:rPr>
              <w:tab/>
              <w:t xml:space="preserve">riscul de rată a dobânzii; </w:t>
            </w:r>
          </w:p>
          <w:p w14:paraId="41A30956" w14:textId="77777777" w:rsidR="00C07F98" w:rsidRPr="008070DB" w:rsidRDefault="00C07F9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65.2.</w:t>
            </w:r>
            <w:r w:rsidRPr="008070DB">
              <w:rPr>
                <w:rFonts w:ascii="Times New Roman" w:hAnsi="Times New Roman" w:cs="Times New Roman"/>
                <w:sz w:val="18"/>
                <w:szCs w:val="18"/>
                <w:lang w:val="ro-MD"/>
              </w:rPr>
              <w:tab/>
              <w:t xml:space="preserve">riscul valutar; </w:t>
            </w:r>
          </w:p>
          <w:p w14:paraId="26AA0B60" w14:textId="77777777" w:rsidR="00C07F98" w:rsidRPr="008070DB" w:rsidRDefault="00C07F9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65.3.</w:t>
            </w:r>
            <w:r w:rsidRPr="008070DB">
              <w:rPr>
                <w:rFonts w:ascii="Times New Roman" w:hAnsi="Times New Roman" w:cs="Times New Roman"/>
                <w:sz w:val="18"/>
                <w:szCs w:val="18"/>
                <w:lang w:val="ro-MD"/>
              </w:rPr>
              <w:tab/>
              <w:t xml:space="preserve">riscul de credit; </w:t>
            </w:r>
          </w:p>
          <w:p w14:paraId="64832CBA" w14:textId="77777777" w:rsidR="00C07F98" w:rsidRPr="008070DB" w:rsidRDefault="00C07F9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65.4.</w:t>
            </w:r>
            <w:r w:rsidRPr="008070DB">
              <w:rPr>
                <w:rFonts w:ascii="Times New Roman" w:hAnsi="Times New Roman" w:cs="Times New Roman"/>
                <w:sz w:val="18"/>
                <w:szCs w:val="18"/>
                <w:lang w:val="ro-MD"/>
              </w:rPr>
              <w:tab/>
              <w:t xml:space="preserve">riscul privind titlurile de capital; </w:t>
            </w:r>
          </w:p>
          <w:p w14:paraId="1757C705" w14:textId="77777777" w:rsidR="00C07F98" w:rsidRPr="008070DB" w:rsidRDefault="00C07F9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65.5.</w:t>
            </w:r>
            <w:r w:rsidRPr="008070DB">
              <w:rPr>
                <w:rFonts w:ascii="Times New Roman" w:hAnsi="Times New Roman" w:cs="Times New Roman"/>
                <w:sz w:val="18"/>
                <w:szCs w:val="18"/>
                <w:lang w:val="ro-MD"/>
              </w:rPr>
              <w:tab/>
              <w:t xml:space="preserve">riscul de marfă; </w:t>
            </w:r>
          </w:p>
          <w:p w14:paraId="1D7AD06D" w14:textId="77777777" w:rsidR="00C07F98" w:rsidRPr="008070DB" w:rsidRDefault="00C07F98"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65.6.</w:t>
            </w:r>
            <w:r w:rsidRPr="008070DB">
              <w:rPr>
                <w:rFonts w:ascii="Times New Roman" w:hAnsi="Times New Roman" w:cs="Times New Roman"/>
                <w:sz w:val="18"/>
                <w:szCs w:val="18"/>
                <w:lang w:val="ro-MD"/>
              </w:rPr>
              <w:tab/>
              <w:t xml:space="preserve">alte riscuri. </w:t>
            </w:r>
          </w:p>
          <w:p w14:paraId="180F0C88"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5</w:t>
            </w:r>
            <w:r w:rsidR="00C07F98" w:rsidRPr="008070DB">
              <w:rPr>
                <w:rFonts w:ascii="Times New Roman" w:hAnsi="Times New Roman" w:cs="Times New Roman"/>
                <w:b/>
                <w:bCs/>
                <w:sz w:val="18"/>
                <w:szCs w:val="18"/>
                <w:lang w:val="ro-MD"/>
              </w:rPr>
              <w:t>6.</w:t>
            </w:r>
            <w:r w:rsidR="00C07F98" w:rsidRPr="008070DB">
              <w:rPr>
                <w:rFonts w:ascii="Times New Roman" w:hAnsi="Times New Roman" w:cs="Times New Roman"/>
                <w:b/>
                <w:bCs/>
                <w:sz w:val="18"/>
                <w:szCs w:val="18"/>
                <w:lang w:val="ro-MD"/>
              </w:rPr>
              <w:tab/>
            </w:r>
            <w:r w:rsidR="00C07F98" w:rsidRPr="008070DB">
              <w:rPr>
                <w:rFonts w:ascii="Times New Roman" w:hAnsi="Times New Roman" w:cs="Times New Roman"/>
                <w:sz w:val="18"/>
                <w:szCs w:val="18"/>
                <w:lang w:val="ro-MD"/>
              </w:rPr>
              <w:t xml:space="preserve">Băncile efectuează încadrarea menţionată la punctul </w:t>
            </w:r>
          </w:p>
          <w:p w14:paraId="0B9AB5A0" w14:textId="14607588" w:rsidR="00C07F98" w:rsidRPr="008070DB" w:rsidRDefault="000A14A7"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5 în funcţie de determinantul de risc principal al unei tranzacţii cu instrumente financiare derivate. Determinantul de risc principal este singurul determinant de risc semnificativ al unei tranzacţii cu instrumente financiare derivate.</w:t>
            </w:r>
            <w:r w:rsidR="00C07F98" w:rsidRPr="008070DB">
              <w:rPr>
                <w:rFonts w:ascii="Times New Roman" w:hAnsi="Times New Roman" w:cs="Times New Roman"/>
                <w:b/>
                <w:bCs/>
                <w:sz w:val="18"/>
                <w:szCs w:val="18"/>
                <w:lang w:val="ro-MD"/>
              </w:rPr>
              <w:t xml:space="preserve"> </w:t>
            </w:r>
          </w:p>
          <w:p w14:paraId="49366E4D" w14:textId="5F731674" w:rsidR="00C07F98" w:rsidRPr="008070DB" w:rsidRDefault="000A14A7"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sz w:val="18"/>
                <w:szCs w:val="18"/>
                <w:lang w:val="ro-MD"/>
              </w:rPr>
              <w:t>57</w:t>
            </w:r>
            <w:r w:rsidR="00C07F98" w:rsidRPr="008070DB">
              <w:rPr>
                <w:rFonts w:ascii="Times New Roman" w:hAnsi="Times New Roman" w:cs="Times New Roman"/>
                <w:b/>
                <w:bCs/>
                <w:sz w:val="18"/>
                <w:szCs w:val="18"/>
                <w:lang w:val="ro-MD"/>
              </w:rPr>
              <w:t>.</w:t>
            </w:r>
            <w:r w:rsidR="00C07F98" w:rsidRPr="008070DB">
              <w:rPr>
                <w:rFonts w:ascii="Times New Roman" w:hAnsi="Times New Roman" w:cs="Times New Roman"/>
                <w:b/>
                <w:bCs/>
                <w:sz w:val="18"/>
                <w:szCs w:val="18"/>
                <w:lang w:val="ro-MD"/>
              </w:rPr>
              <w:tab/>
            </w:r>
            <w:r w:rsidR="00C07F98" w:rsidRPr="008070DB">
              <w:rPr>
                <w:rFonts w:ascii="Times New Roman" w:hAnsi="Times New Roman" w:cs="Times New Roman"/>
                <w:sz w:val="18"/>
                <w:szCs w:val="18"/>
                <w:lang w:val="ro-MD"/>
              </w:rPr>
              <w:t xml:space="preserve">Prin derogare de la punctul </w:t>
            </w: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6, băncile încadrează tranzacţiile cu instrumente financiare derivate care au mai mult de un determinant de risc semnificativ în mai multe categorii de risc. În cazul în care toţi determinanţii de risc semnificativi ai uneia dintre aceste tranzacţii fac parte din aceeași categorie de risc, băncile nu sunt obligate să încadreze tranzacţia respectivă în categoria de risc respectivă decât o singură dată, pe baza celui mai semnificativ dintre determinanţii de risc. În cazul în care determinanţii de risc semnificativi ai uneia dintre aceste tranzacţii fac parte din categorii de risc diferite, băncile încadrează tranzacţia respectivă o singură dată în fiecare categorie de risc pentru care tranzacţia are cel puţin</w:t>
            </w:r>
            <w:r w:rsidR="00C07F98" w:rsidRPr="008070DB">
              <w:rPr>
                <w:rFonts w:ascii="Times New Roman" w:hAnsi="Times New Roman" w:cs="Times New Roman"/>
                <w:b/>
                <w:bCs/>
                <w:sz w:val="18"/>
                <w:szCs w:val="18"/>
                <w:lang w:val="ro-MD"/>
              </w:rPr>
              <w:t xml:space="preserve"> </w:t>
            </w:r>
            <w:r w:rsidR="00C07F98" w:rsidRPr="008070DB">
              <w:rPr>
                <w:rFonts w:ascii="Times New Roman" w:hAnsi="Times New Roman" w:cs="Times New Roman"/>
                <w:sz w:val="18"/>
                <w:szCs w:val="18"/>
                <w:lang w:val="ro-MD"/>
              </w:rPr>
              <w:t>un determinant de risc semnificativ, pe baza celui mai semnificativ dintre determinanţii de risc din categoria de risc în cauză.</w:t>
            </w:r>
            <w:r w:rsidR="00C07F98" w:rsidRPr="008070DB">
              <w:rPr>
                <w:rFonts w:ascii="Times New Roman" w:hAnsi="Times New Roman" w:cs="Times New Roman"/>
                <w:b/>
                <w:bCs/>
                <w:sz w:val="18"/>
                <w:szCs w:val="18"/>
                <w:lang w:val="ro-MD"/>
              </w:rPr>
              <w:t xml:space="preserve"> </w:t>
            </w:r>
          </w:p>
          <w:p w14:paraId="48325C22" w14:textId="77E1C677" w:rsidR="00C07F98"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5</w:t>
            </w:r>
            <w:r w:rsidR="00C07F98" w:rsidRPr="008070DB">
              <w:rPr>
                <w:rFonts w:ascii="Times New Roman" w:hAnsi="Times New Roman" w:cs="Times New Roman"/>
                <w:b/>
                <w:bCs/>
                <w:sz w:val="18"/>
                <w:szCs w:val="18"/>
                <w:lang w:val="ro-MD"/>
              </w:rPr>
              <w:t>8.</w:t>
            </w:r>
            <w:r w:rsidR="00C07F98" w:rsidRPr="008070DB">
              <w:rPr>
                <w:rFonts w:ascii="Times New Roman" w:hAnsi="Times New Roman" w:cs="Times New Roman"/>
                <w:b/>
                <w:bCs/>
                <w:sz w:val="18"/>
                <w:szCs w:val="18"/>
                <w:lang w:val="ro-MD"/>
              </w:rPr>
              <w:tab/>
            </w:r>
            <w:r w:rsidR="00C07F98" w:rsidRPr="008070DB">
              <w:rPr>
                <w:rFonts w:ascii="Times New Roman" w:hAnsi="Times New Roman" w:cs="Times New Roman"/>
                <w:sz w:val="18"/>
                <w:szCs w:val="18"/>
                <w:lang w:val="ro-MD"/>
              </w:rPr>
              <w:t xml:space="preserve">Prin derogare de la punctele </w:t>
            </w: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5-</w:t>
            </w: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 xml:space="preserve">7, la încadrarea tranzacţiilor în categoriile de risc enumerate la punctul </w:t>
            </w: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 xml:space="preserve">5, băncile aplică următoarele cerinţe: </w:t>
            </w:r>
          </w:p>
          <w:p w14:paraId="4F056E3A" w14:textId="5F270738" w:rsidR="00C07F98"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8.1.</w:t>
            </w:r>
            <w:r w:rsidR="00C07F98" w:rsidRPr="008070DB">
              <w:rPr>
                <w:rFonts w:ascii="Times New Roman" w:hAnsi="Times New Roman" w:cs="Times New Roman"/>
                <w:sz w:val="18"/>
                <w:szCs w:val="18"/>
                <w:lang w:val="ro-MD"/>
              </w:rPr>
              <w:tab/>
              <w:t xml:space="preserve">în cazul în care determinantul de risc principal al unei tranzacţii sau cel mai semnificativ determinant de </w:t>
            </w:r>
            <w:r w:rsidR="00C07F98" w:rsidRPr="008070DB">
              <w:rPr>
                <w:rFonts w:ascii="Times New Roman" w:hAnsi="Times New Roman" w:cs="Times New Roman"/>
                <w:sz w:val="18"/>
                <w:szCs w:val="18"/>
                <w:lang w:val="ro-MD"/>
              </w:rPr>
              <w:lastRenderedPageBreak/>
              <w:t xml:space="preserve">risc într-o anumită categorie de risc pentru tranzacţiile menţionate la punctul </w:t>
            </w: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 xml:space="preserve">7 este o variabilă legată de inflaţie, băncile încadrează tranzacţia respectivă în categoria de risc de rată a dobânzii; </w:t>
            </w:r>
          </w:p>
          <w:p w14:paraId="0FA769EB" w14:textId="77777777" w:rsidR="001A4DE8"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8.2.</w:t>
            </w:r>
            <w:r w:rsidR="00C07F98" w:rsidRPr="008070DB">
              <w:rPr>
                <w:rFonts w:ascii="Times New Roman" w:hAnsi="Times New Roman" w:cs="Times New Roman"/>
                <w:sz w:val="18"/>
                <w:szCs w:val="18"/>
                <w:lang w:val="ro-MD"/>
              </w:rPr>
              <w:tab/>
              <w:t xml:space="preserve">în cazul în care determinantul de risc principal al unei tranzacţii sau cel mai semnificativ determinant de risc într-o anumită categorie de risc pentru tranzacţiile menţionate la punctul </w:t>
            </w:r>
            <w:r w:rsidRPr="008070DB">
              <w:rPr>
                <w:rFonts w:ascii="Times New Roman" w:hAnsi="Times New Roman" w:cs="Times New Roman"/>
                <w:sz w:val="18"/>
                <w:szCs w:val="18"/>
                <w:lang w:val="ro-MD"/>
              </w:rPr>
              <w:t>5</w:t>
            </w:r>
            <w:r w:rsidR="00C07F98" w:rsidRPr="008070DB">
              <w:rPr>
                <w:rFonts w:ascii="Times New Roman" w:hAnsi="Times New Roman" w:cs="Times New Roman"/>
                <w:sz w:val="18"/>
                <w:szCs w:val="18"/>
                <w:lang w:val="ro-MD"/>
              </w:rPr>
              <w:t>7 este o variabilă legată de condiţiile climatice, băncile încadrează tranzacţia respectivă în categoria de risc de marfă.</w:t>
            </w:r>
          </w:p>
          <w:p w14:paraId="5159343D" w14:textId="00B4C175" w:rsidR="00555E5C" w:rsidRPr="008070DB" w:rsidRDefault="00555E5C" w:rsidP="003456B0">
            <w:pPr>
              <w:pStyle w:val="NoSpacing"/>
              <w:tabs>
                <w:tab w:val="left" w:pos="328"/>
              </w:tabs>
              <w:jc w:val="both"/>
              <w:rPr>
                <w:rFonts w:ascii="Times New Roman" w:hAnsi="Times New Roman" w:cs="Times New Roman"/>
                <w:i/>
                <w:iCs/>
                <w:sz w:val="18"/>
                <w:szCs w:val="18"/>
              </w:rPr>
            </w:pPr>
            <w:r w:rsidRPr="008070DB">
              <w:rPr>
                <w:rFonts w:ascii="Times New Roman" w:hAnsi="Times New Roman" w:cs="Times New Roman"/>
                <w:b/>
                <w:bCs/>
                <w:i/>
                <w:iCs/>
                <w:sz w:val="18"/>
                <w:szCs w:val="18"/>
              </w:rPr>
              <w:t>58</w:t>
            </w:r>
            <w:r w:rsidRPr="008070DB">
              <w:rPr>
                <w:rFonts w:ascii="Times New Roman" w:hAnsi="Times New Roman" w:cs="Times New Roman"/>
                <w:b/>
                <w:bCs/>
                <w:i/>
                <w:iCs/>
                <w:sz w:val="18"/>
                <w:szCs w:val="18"/>
                <w:vertAlign w:val="superscript"/>
              </w:rPr>
              <w:t>1</w:t>
            </w:r>
            <w:r w:rsidRPr="008070DB">
              <w:rPr>
                <w:rFonts w:ascii="Times New Roman" w:hAnsi="Times New Roman" w:cs="Times New Roman"/>
                <w:b/>
                <w:bCs/>
                <w:i/>
                <w:iCs/>
                <w:sz w:val="18"/>
                <w:szCs w:val="18"/>
              </w:rPr>
              <w:t>.</w:t>
            </w:r>
            <w:r w:rsidRPr="008070DB">
              <w:rPr>
                <w:rFonts w:ascii="Times New Roman" w:hAnsi="Times New Roman" w:cs="Times New Roman"/>
                <w:i/>
                <w:iCs/>
                <w:sz w:val="18"/>
                <w:szCs w:val="18"/>
              </w:rPr>
              <w:t xml:space="preserve"> Metoda pentru identificarea tranzacțiilor cu un singur determinant de risc semnificativ și a celor cu mai mult de un determinant de risc semnificativ, precum și pentru identificarea celui mai semnificativ dintre determinanți</w:t>
            </w:r>
            <w:r w:rsidR="00D43539">
              <w:rPr>
                <w:rFonts w:ascii="Times New Roman" w:hAnsi="Times New Roman" w:cs="Times New Roman"/>
                <w:i/>
                <w:iCs/>
                <w:sz w:val="18"/>
                <w:szCs w:val="18"/>
              </w:rPr>
              <w:t>i</w:t>
            </w:r>
            <w:r w:rsidRPr="008070DB">
              <w:rPr>
                <w:rFonts w:ascii="Times New Roman" w:hAnsi="Times New Roman" w:cs="Times New Roman"/>
                <w:i/>
                <w:iCs/>
                <w:sz w:val="18"/>
                <w:szCs w:val="18"/>
              </w:rPr>
              <w:t xml:space="preserve"> de risc respectivi în sensul punctului 57 este </w:t>
            </w:r>
            <w:r w:rsidR="00D43539">
              <w:rPr>
                <w:rFonts w:ascii="Times New Roman" w:hAnsi="Times New Roman" w:cs="Times New Roman"/>
                <w:i/>
                <w:iCs/>
                <w:sz w:val="18"/>
                <w:szCs w:val="18"/>
              </w:rPr>
              <w:t>expusă</w:t>
            </w:r>
            <w:r w:rsidRPr="008070DB">
              <w:rPr>
                <w:rFonts w:ascii="Times New Roman" w:hAnsi="Times New Roman" w:cs="Times New Roman"/>
                <w:i/>
                <w:iCs/>
                <w:sz w:val="18"/>
                <w:szCs w:val="18"/>
              </w:rPr>
              <w:t xml:space="preserve"> în anexa 2 la prezentul regulament.</w:t>
            </w:r>
          </w:p>
          <w:p w14:paraId="13B777F9"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1F1CCF5A"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7E139F05"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13A6607B"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7AE0A32B"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455D2584"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262A8738"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2AB0340E"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0CFC82A5"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24168EEA"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0233EC2E"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7B4743B0"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36ED9C19"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583ADB21"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34510130"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09F3CD81"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7A77E3D7"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38A53A6A"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70084BA7" w14:textId="77777777" w:rsidR="00555E5C" w:rsidRPr="008070DB" w:rsidRDefault="00555E5C" w:rsidP="003456B0">
            <w:pPr>
              <w:pStyle w:val="NoSpacing"/>
              <w:tabs>
                <w:tab w:val="left" w:pos="328"/>
              </w:tabs>
              <w:jc w:val="both"/>
              <w:rPr>
                <w:rFonts w:ascii="Times New Roman" w:hAnsi="Times New Roman" w:cs="Times New Roman"/>
                <w:i/>
                <w:iCs/>
                <w:sz w:val="18"/>
                <w:szCs w:val="18"/>
              </w:rPr>
            </w:pPr>
          </w:p>
          <w:p w14:paraId="273D33C4" w14:textId="13442DA8" w:rsidR="00555E5C" w:rsidRPr="008070DB" w:rsidRDefault="00555E5C" w:rsidP="003456B0">
            <w:pPr>
              <w:pStyle w:val="NoSpacing"/>
              <w:tabs>
                <w:tab w:val="left" w:pos="328"/>
              </w:tabs>
              <w:jc w:val="both"/>
              <w:rPr>
                <w:rFonts w:ascii="Times New Roman" w:hAnsi="Times New Roman" w:cs="Times New Roman"/>
                <w:i/>
                <w:i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 xml:space="preserve">Regulamentul nr.220/2025, </w:t>
            </w:r>
            <w:r w:rsidRPr="008070DB">
              <w:rPr>
                <w:rFonts w:ascii="Times New Roman" w:hAnsi="Times New Roman" w:cs="Times New Roman"/>
                <w:b/>
                <w:bCs/>
                <w:i/>
                <w:iCs/>
                <w:sz w:val="18"/>
                <w:szCs w:val="18"/>
                <w:lang w:val="ro-RO" w:eastAsia="ro-MD"/>
              </w:rPr>
              <w:t>cu excepția pct.</w:t>
            </w:r>
            <w:r w:rsidRPr="008070DB">
              <w:rPr>
                <w:rFonts w:ascii="Times New Roman" w:hAnsi="Times New Roman" w:cs="Times New Roman"/>
                <w:b/>
                <w:bCs/>
                <w:i/>
                <w:iCs/>
                <w:sz w:val="18"/>
                <w:szCs w:val="18"/>
              </w:rPr>
              <w:t>58</w:t>
            </w:r>
            <w:r w:rsidRPr="008070DB">
              <w:rPr>
                <w:rFonts w:ascii="Times New Roman" w:hAnsi="Times New Roman" w:cs="Times New Roman"/>
                <w:b/>
                <w:bCs/>
                <w:i/>
                <w:iCs/>
                <w:sz w:val="18"/>
                <w:szCs w:val="18"/>
                <w:vertAlign w:val="superscript"/>
              </w:rPr>
              <w:t>1</w:t>
            </w:r>
            <w:r w:rsidRPr="008070DB">
              <w:rPr>
                <w:rFonts w:ascii="Times New Roman" w:hAnsi="Times New Roman" w:cs="Times New Roman"/>
                <w:b/>
                <w:bCs/>
                <w:i/>
                <w:iCs/>
                <w:sz w:val="18"/>
                <w:szCs w:val="18"/>
              </w:rPr>
              <w:t>.</w:t>
            </w:r>
            <w:r w:rsidRPr="008070DB">
              <w:rPr>
                <w:rFonts w:ascii="Times New Roman" w:hAnsi="Times New Roman" w:cs="Times New Roman"/>
                <w:b/>
                <w:bCs/>
                <w:i/>
                <w:iCs/>
                <w:sz w:val="18"/>
                <w:szCs w:val="18"/>
                <w:lang w:val="ro-RO" w:eastAsia="ro-MD"/>
              </w:rPr>
              <w:t xml:space="preserve"> - prevedere nouă - </w:t>
            </w:r>
            <w:r w:rsidRPr="008070DB">
              <w:rPr>
                <w:rFonts w:ascii="Times New Roman" w:hAnsi="Times New Roman" w:cs="Times New Roman"/>
                <w:sz w:val="18"/>
                <w:szCs w:val="18"/>
                <w:lang w:val="ro-MD" w:eastAsia="ro-MD"/>
              </w:rPr>
              <w:t xml:space="preserve">Inclusă prin </w:t>
            </w:r>
            <w:r w:rsidRPr="008070DB">
              <w:rPr>
                <w:rFonts w:ascii="Times New Roman" w:hAnsi="Times New Roman" w:cs="Times New Roman"/>
                <w:b/>
                <w:bCs/>
                <w:i/>
                <w:iCs/>
                <w:sz w:val="18"/>
                <w:szCs w:val="18"/>
                <w:lang w:val="ro-RO" w:eastAsia="ro-MD"/>
              </w:rPr>
              <w:t>Proiectul HCE al BNM de modificare a Regulamentului nr.220/2025</w:t>
            </w:r>
          </w:p>
          <w:p w14:paraId="2C68D14D" w14:textId="5AFF3D04" w:rsidR="00555E5C" w:rsidRPr="008070DB" w:rsidRDefault="00555E5C" w:rsidP="003456B0">
            <w:pPr>
              <w:pStyle w:val="NoSpacing"/>
              <w:tabs>
                <w:tab w:val="left" w:pos="328"/>
              </w:tabs>
              <w:jc w:val="both"/>
              <w:rPr>
                <w:rFonts w:ascii="Times New Roman" w:hAnsi="Times New Roman" w:cs="Times New Roman"/>
                <w:b/>
                <w:bCs/>
                <w:sz w:val="18"/>
                <w:szCs w:val="18"/>
                <w:lang w:val="ro-MD"/>
              </w:rPr>
            </w:pPr>
          </w:p>
        </w:tc>
        <w:tc>
          <w:tcPr>
            <w:tcW w:w="1554" w:type="dxa"/>
          </w:tcPr>
          <w:p w14:paraId="4C325203" w14:textId="7EB0BB40" w:rsidR="001A4DE8" w:rsidRPr="00A96E09" w:rsidRDefault="00555E5C" w:rsidP="00C14AF6">
            <w:pPr>
              <w:jc w:val="both"/>
              <w:rPr>
                <w:sz w:val="18"/>
                <w:szCs w:val="18"/>
                <w:lang w:val="ro-MD"/>
              </w:rPr>
            </w:pPr>
            <w:r>
              <w:rPr>
                <w:sz w:val="18"/>
                <w:szCs w:val="18"/>
                <w:lang w:val="ro-MD"/>
              </w:rPr>
              <w:lastRenderedPageBreak/>
              <w:t>C</w:t>
            </w:r>
            <w:r w:rsidR="001A4DE8" w:rsidRPr="00A96E09">
              <w:rPr>
                <w:sz w:val="18"/>
                <w:szCs w:val="18"/>
                <w:lang w:val="ro-MD"/>
              </w:rPr>
              <w:t>ompatibil</w:t>
            </w:r>
          </w:p>
        </w:tc>
        <w:tc>
          <w:tcPr>
            <w:tcW w:w="4683" w:type="dxa"/>
            <w:tcBorders>
              <w:top w:val="single" w:sz="4" w:space="0" w:color="auto"/>
              <w:bottom w:val="single" w:sz="4" w:space="0" w:color="auto"/>
            </w:tcBorders>
          </w:tcPr>
          <w:p w14:paraId="0E962E71" w14:textId="5D0C73A5" w:rsidR="001A4DE8" w:rsidRPr="00A96E09" w:rsidRDefault="001A4DE8" w:rsidP="00C14AF6">
            <w:pPr>
              <w:rPr>
                <w:sz w:val="18"/>
                <w:szCs w:val="18"/>
                <w:lang w:val="ro-MD"/>
              </w:rPr>
            </w:pPr>
          </w:p>
        </w:tc>
      </w:tr>
      <w:tr w:rsidR="001A4DE8" w:rsidRPr="00A96E09" w14:paraId="25DD5FF7" w14:textId="77777777" w:rsidTr="00C14AF6">
        <w:trPr>
          <w:trHeight w:val="918"/>
        </w:trPr>
        <w:tc>
          <w:tcPr>
            <w:tcW w:w="3866" w:type="dxa"/>
          </w:tcPr>
          <w:p w14:paraId="4300FE14" w14:textId="193F3A5C"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277a </w:t>
            </w:r>
            <w:r w:rsidRPr="00A96E09">
              <w:rPr>
                <w:rFonts w:eastAsiaTheme="minorHAnsi"/>
                <w:b/>
                <w:bCs/>
                <w:color w:val="000000"/>
                <w:sz w:val="18"/>
                <w:szCs w:val="18"/>
                <w:lang w:val="ro-MD" w:eastAsia="en-US"/>
              </w:rPr>
              <w:t xml:space="preserve">Seturi de acoperire a riscului </w:t>
            </w:r>
          </w:p>
          <w:p w14:paraId="1820184A"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(1) Instituţiile stabilesc seturile de acoperire a riscului relevante pentru fiecare categorie de risc a unui set de compensare și atribuie fiecare tranzacţie acestor seturi de acoperire a riscului, după cum urmează: </w:t>
            </w:r>
          </w:p>
          <w:p w14:paraId="22508C40"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 tranzacţiile încadrate în categoria de risc de rată a dobânzii se atribuie aceluiași set de acoperire a riscului numai în cazul în care determinantul lor de risc principal sau cel mai semnificativ determinant de risc într-o anumită categorie de risc pentru tranzacţiile menţionate la articolul 277 alineatul (3) este denominat în aceeași monedă; </w:t>
            </w:r>
          </w:p>
          <w:p w14:paraId="07214407"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(b) tranzacţiile încadrate în categoria de risc valutar se atribuie aceluiași set de acoperire a riscului numai în cazul în care determinantul lor de risc principal sau cel mai semnificativ determinant de risc într-o anumită categorie de risc pentru tranzacţiile menţionate la articolul 277 alineatul (3) se bazează pe aceeași pereche de monede; </w:t>
            </w:r>
          </w:p>
          <w:p w14:paraId="223B6CA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(c) toate tranzacţiile încadrate în categoria de risc de credit se atribuie aceluiași set de acoperire a riscului; </w:t>
            </w:r>
          </w:p>
          <w:p w14:paraId="5CC50229"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(d) toate tranzacţiile încadrate în categoria de risc privind titlurile de capital se atribuie aceluiași set de acoperire a riscului; </w:t>
            </w:r>
          </w:p>
          <w:p w14:paraId="0CF0CC85"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(e) tranzacţiile încadrate în categoria de risc de marfă se atribuie unuia din următoarele seturi de acoperire a riscului în funcţie de natura determinantului lor de risc principal sau cel mai semnificativ determinant de risc într-o anumită categorie de risc pentru tranzacţiile menţionate la articolul 277 alineatul (3): </w:t>
            </w:r>
          </w:p>
          <w:p w14:paraId="0CE2B3D5"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(i) energie; </w:t>
            </w:r>
          </w:p>
          <w:p w14:paraId="7019979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(ii) metale; </w:t>
            </w:r>
          </w:p>
          <w:p w14:paraId="20DA6CC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(iii) produse agricole; </w:t>
            </w:r>
          </w:p>
          <w:p w14:paraId="768CDD9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lastRenderedPageBreak/>
              <w:t xml:space="preserve">(iv) alte mărfuri; </w:t>
            </w:r>
          </w:p>
          <w:p w14:paraId="151E0A5B"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(v) condiţii climatice; </w:t>
            </w:r>
          </w:p>
          <w:p w14:paraId="3C7FFB8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(f) tranzacţiile încadrate în alte categorii de risc se atribuie aceluiași set de acoperire a riscului numai în cazul în care determinantul lor de risc principal sau cel mai semnificativ determinant de risc într-o anumită categorie de risc pentru tranzacţiile menţionate la articolul 277 alineatul (3) este identic. </w:t>
            </w:r>
          </w:p>
          <w:p w14:paraId="14E16C45"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În sensul primului paragraf litera (a) de la prezentul alineat, tranzacţiile încadrate în categoria de risc de rată a dobânzii care au ca determinant de risc principal o variabilă legată de inflaţie se atribuie unor seturi de acoperire a riscului distincte, altele decât seturile de acoperire a riscului stabilite pentru tranzacţiile încadrate în categoria de risc de rată a dobânzii care nu au ca determinant de risc principal o variabilă legată de inflaţie. Tranzacţiile respective se atribuie aceluiași set de acoperire a riscului numai în cazul în care determinantul lor de risc principal sau cel mai semnificativ determinant de risc într-o anumită categorie de risc pentru tranzacţiile menţionate la articolul 277 alineatul (3) este denominat în aceeași monedă. </w:t>
            </w:r>
          </w:p>
          <w:p w14:paraId="27036112"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(2) Prin derogare de la alineatul (1) de la prezentul articol, instituţiile stabilesc seturi de acoperire a riscului distincte în fiecare categorie de risc pentru următoarele tranzacţii: </w:t>
            </w:r>
          </w:p>
          <w:p w14:paraId="47AFA663"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 tranzacţiile pentru care determinantul de risc principal sau cel mai semnificativ determinant de risc într-o anumită categorie de risc pentru tranzacţiile menţionate la articolul 277 alineatul (3) este fie volatilitatea de piaţă implicită sau volatilitatea realizată a unui determinant de risc, fie corelaţia dintre doi determinanţi de risc; </w:t>
            </w:r>
          </w:p>
          <w:p w14:paraId="388EFC4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(b) tranzacţiile pentru care determinantul de risc principal sau cel mai semnificativ determinant de risc într-o anumită categorie de risc pentru tranzacţiile menţionate la articolul 277 alineatul (3) </w:t>
            </w:r>
            <w:r w:rsidRPr="00A96E09">
              <w:rPr>
                <w:rFonts w:eastAsiaTheme="minorHAnsi"/>
                <w:color w:val="000000"/>
                <w:sz w:val="18"/>
                <w:szCs w:val="18"/>
                <w:lang w:val="ro-MD" w:eastAsia="en-US"/>
              </w:rPr>
              <w:lastRenderedPageBreak/>
              <w:t xml:space="preserve">este reprezentat de diferenţa dintre doi determinanţi de risc încadraţi în aceeași categorie de risc sau tranzacţiile care constau în două segmente de plată denominate în aceeași monedă și pentru care un determinant de risc din aceeași categorie de risc ca și principalul determinant de risc este inclus în celălalt segment de plată decât cel care conţine determinantul de risc principal. </w:t>
            </w:r>
          </w:p>
          <w:p w14:paraId="60721C1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În sensul literei (a) de la primul paragraf de la prezentul alineat, instituţiile atribuie tranzacţiile aceluiași set de acoperire a riscului din categoria de risc relevantă numai în cazul în care determinantul de risc principal al acestora sau cel mai semnificativ determinant de risc într-o anumită categorie de risc pentru tranzacţiile menţionate la articolul 277 alineatul (3) este identic. </w:t>
            </w:r>
          </w:p>
          <w:p w14:paraId="14ACA3C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În sensul literei (b) de la primul paragraf, instituţiile atribuie tranzacţiile aceluiași set de acoperire a riscului din categoria de risc relevantă numai în cazul în care perechea de determinanţi de risc din tranzacţiile menţionate la litera (b) este identică, iar între cei doi determinanţi de risc care fac parte din pereche există o corelaţie pozitivă. În caz contrar, instituţiile atribuie tranzacţiile menţionate la primul paragraf litera (b) unuia dintre seturile de acoperire a riscului stabilite în conformitate cu alineatul (1), doar pe baza unuia dintre cei doi determinanţi de risc menţionaţi la primul paragraf litera (b). </w:t>
            </w:r>
          </w:p>
          <w:p w14:paraId="73994D81" w14:textId="489579E8" w:rsidR="00655F97" w:rsidRPr="00A96E09" w:rsidRDefault="00655F97"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en-US" w:eastAsia="en-US"/>
              </w:rPr>
              <w:t>În sensul primului paragraf litera (a) de la prezentul alineat, instituţiile atribuie tranzacţiile unui set de acoperire a riscului distinct din categoria de risc relevantă urmând aceeași alcătuire a seturilor de acoperire a riscului prevăzută la alineatul (1)</w:t>
            </w:r>
            <w:r w:rsidRPr="00A96E09">
              <w:rPr>
                <w:rFonts w:eastAsiaTheme="minorHAnsi"/>
                <w:color w:val="000000"/>
                <w:sz w:val="18"/>
                <w:szCs w:val="18"/>
                <w:lang w:val="ro-MD" w:eastAsia="en-US"/>
              </w:rPr>
              <w:t>.</w:t>
            </w:r>
          </w:p>
          <w:p w14:paraId="4BB86B94" w14:textId="3E14DC92" w:rsidR="001A4DE8" w:rsidRPr="00A96E09" w:rsidRDefault="001A4DE8" w:rsidP="003456B0">
            <w:pPr>
              <w:pStyle w:val="title-article-norm"/>
              <w:jc w:val="both"/>
              <w:rPr>
                <w:i w:val="0"/>
                <w:sz w:val="18"/>
                <w:szCs w:val="18"/>
                <w:lang w:val="ro-MD"/>
              </w:rPr>
            </w:pPr>
            <w:r w:rsidRPr="00A96E09">
              <w:rPr>
                <w:rFonts w:eastAsiaTheme="minorHAnsi"/>
                <w:i w:val="0"/>
                <w:iCs w:val="0"/>
                <w:color w:val="000000"/>
                <w:sz w:val="18"/>
                <w:szCs w:val="18"/>
                <w:lang w:val="ro-MD"/>
              </w:rPr>
              <w:t xml:space="preserve">(3) Instituţiile pun la dispoziţie, la cererea autorităţilor competente, numărul de seturi de acoperire a riscului stabilite în conformitate cu alineatul (2) de la prezentul articol pentru fiecare </w:t>
            </w:r>
            <w:r w:rsidRPr="00A96E09">
              <w:rPr>
                <w:rFonts w:eastAsiaTheme="minorHAnsi"/>
                <w:i w:val="0"/>
                <w:iCs w:val="0"/>
                <w:color w:val="000000"/>
                <w:sz w:val="18"/>
                <w:szCs w:val="18"/>
                <w:lang w:val="ro-MD"/>
              </w:rPr>
              <w:lastRenderedPageBreak/>
              <w:t>categorie de risc, împreună cu determinantul de risc principal sau cel mai semnificativ determinant de risc într-o anumită categorie de risc pentru tranzacţiile menţionate la articolul 277 alineatul (3) sau perechea de determinanţi de risc aferentă fiecăruia dintre seturile de acoperire a riscului respective și cu numărul de tranzacţii din cadrul fiecărui set de acoperire a riscului.</w:t>
            </w:r>
          </w:p>
        </w:tc>
        <w:tc>
          <w:tcPr>
            <w:tcW w:w="4356" w:type="dxa"/>
          </w:tcPr>
          <w:p w14:paraId="415E927F"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i/>
                <w:iCs/>
                <w:color w:val="000000"/>
                <w:sz w:val="18"/>
                <w:szCs w:val="18"/>
                <w:lang w:val="ro-MD" w:eastAsia="en-US"/>
                <w14:ligatures w14:val="standardContextual"/>
              </w:rPr>
              <w:lastRenderedPageBreak/>
              <w:t>Secțiunea a 5-a</w:t>
            </w:r>
          </w:p>
          <w:p w14:paraId="6426FA96" w14:textId="77777777" w:rsidR="001A4DE8" w:rsidRPr="008070DB" w:rsidRDefault="001A4DE8" w:rsidP="003456B0">
            <w:pPr>
              <w:autoSpaceDE w:val="0"/>
              <w:autoSpaceDN w:val="0"/>
              <w:adjustRightInd w:val="0"/>
              <w:spacing w:before="60" w:after="6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Seturi de acoperire a riscului</w:t>
            </w:r>
          </w:p>
          <w:p w14:paraId="2578CE08"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59.</w:t>
            </w:r>
            <w:r w:rsidRPr="008070DB">
              <w:rPr>
                <w:rFonts w:ascii="Times New Roman" w:hAnsi="Times New Roman" w:cs="Times New Roman"/>
                <w:b/>
                <w:bCs/>
                <w:sz w:val="18"/>
                <w:szCs w:val="18"/>
                <w:lang w:val="ro-MD"/>
              </w:rPr>
              <w:tab/>
            </w:r>
            <w:r w:rsidRPr="008070DB">
              <w:rPr>
                <w:rFonts w:ascii="Times New Roman" w:hAnsi="Times New Roman" w:cs="Times New Roman"/>
                <w:sz w:val="18"/>
                <w:szCs w:val="18"/>
                <w:lang w:val="ro-MD"/>
              </w:rPr>
              <w:t xml:space="preserve">Băncile stabilesc seturile de acoperire a riscului relevante pentru fiecare categorie de risc a unui set de compensare și atribuie fiecare tranzacţie acestor seturi de acoperire a riscului, după cum urmează: </w:t>
            </w:r>
          </w:p>
          <w:p w14:paraId="2684BDA8" w14:textId="77777777" w:rsidR="000A14A7" w:rsidRPr="008070DB" w:rsidRDefault="000A14A7" w:rsidP="003456B0">
            <w:pPr>
              <w:pStyle w:val="NoSpacing"/>
              <w:tabs>
                <w:tab w:val="left" w:pos="328"/>
                <w:tab w:val="left" w:pos="414"/>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59.1.</w:t>
            </w:r>
            <w:r w:rsidRPr="008070DB">
              <w:rPr>
                <w:rFonts w:ascii="Times New Roman" w:hAnsi="Times New Roman" w:cs="Times New Roman"/>
                <w:sz w:val="18"/>
                <w:szCs w:val="18"/>
                <w:lang w:val="ro-MD"/>
              </w:rPr>
              <w:tab/>
              <w:t xml:space="preserve">tranzacţiile încadrate în categoria de risc de rată a dobânzii se atribuie aceluiași set de acoperire a riscului numai în cazul în care determinantul lor de risc principal sau cel mai semnificativ determinant de risc într-o anumită categorie de risc pentru tranzacţiile menţionate la punctul 57 este denominat în aceeași monedă; </w:t>
            </w:r>
          </w:p>
          <w:p w14:paraId="4D6CAB13" w14:textId="77777777" w:rsidR="000A14A7" w:rsidRPr="008070DB" w:rsidRDefault="000A14A7" w:rsidP="003456B0">
            <w:pPr>
              <w:pStyle w:val="NoSpacing"/>
              <w:tabs>
                <w:tab w:val="left" w:pos="328"/>
                <w:tab w:val="left" w:pos="414"/>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59.2.</w:t>
            </w:r>
            <w:r w:rsidRPr="008070DB">
              <w:rPr>
                <w:rFonts w:ascii="Times New Roman" w:hAnsi="Times New Roman" w:cs="Times New Roman"/>
                <w:sz w:val="18"/>
                <w:szCs w:val="18"/>
                <w:lang w:val="ro-MD"/>
              </w:rPr>
              <w:tab/>
              <w:t xml:space="preserve">tranzacţiile încadrate în categoria de risc valutar se atribuie aceluiași set de acoperire a riscului numai în cazul în care determinantul lor de risc principal sau cel mai semnificativ determinant de risc într-o anumită categorie de risc pentru tranzacţiile menţionate la punctul 57 este denominat în aceeași monedă; </w:t>
            </w:r>
          </w:p>
          <w:p w14:paraId="5CEBD7F5" w14:textId="77777777" w:rsidR="000A14A7" w:rsidRPr="008070DB" w:rsidRDefault="000A14A7" w:rsidP="003456B0">
            <w:pPr>
              <w:pStyle w:val="NoSpacing"/>
              <w:tabs>
                <w:tab w:val="left" w:pos="328"/>
                <w:tab w:val="left" w:pos="414"/>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59.3.</w:t>
            </w:r>
            <w:r w:rsidRPr="008070DB">
              <w:rPr>
                <w:rFonts w:ascii="Times New Roman" w:hAnsi="Times New Roman" w:cs="Times New Roman"/>
                <w:sz w:val="18"/>
                <w:szCs w:val="18"/>
                <w:lang w:val="ro-MD"/>
              </w:rPr>
              <w:tab/>
              <w:t xml:space="preserve">toate tranzacţiile încadrate în categoria de risc de credit se atribuie aceluiași set de acoperire a riscului; </w:t>
            </w:r>
          </w:p>
          <w:p w14:paraId="5EC8CCF6" w14:textId="77777777" w:rsidR="000A14A7" w:rsidRPr="008070DB" w:rsidRDefault="000A14A7" w:rsidP="003456B0">
            <w:pPr>
              <w:pStyle w:val="NoSpacing"/>
              <w:tabs>
                <w:tab w:val="left" w:pos="328"/>
                <w:tab w:val="left" w:pos="414"/>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59.4.</w:t>
            </w:r>
            <w:r w:rsidRPr="008070DB">
              <w:rPr>
                <w:rFonts w:ascii="Times New Roman" w:hAnsi="Times New Roman" w:cs="Times New Roman"/>
                <w:sz w:val="18"/>
                <w:szCs w:val="18"/>
                <w:lang w:val="ro-MD"/>
              </w:rPr>
              <w:tab/>
              <w:t xml:space="preserve">toate tranzacţiile încadrate în categoria de risc privind titlurile de capital se atribuie aceluiași set de acoperire a riscului; </w:t>
            </w:r>
          </w:p>
          <w:p w14:paraId="586BD5FA" w14:textId="77777777" w:rsidR="000A14A7" w:rsidRPr="008070DB" w:rsidRDefault="000A14A7" w:rsidP="003456B0">
            <w:pPr>
              <w:pStyle w:val="NoSpacing"/>
              <w:tabs>
                <w:tab w:val="left" w:pos="328"/>
                <w:tab w:val="left" w:pos="414"/>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59.5.</w:t>
            </w:r>
            <w:r w:rsidRPr="008070DB">
              <w:rPr>
                <w:rFonts w:ascii="Times New Roman" w:hAnsi="Times New Roman" w:cs="Times New Roman"/>
                <w:sz w:val="18"/>
                <w:szCs w:val="18"/>
                <w:lang w:val="ro-MD"/>
              </w:rPr>
              <w:tab/>
              <w:t>tranzacţiile încadrate în categoria de risc de marfă se atribuie unuia din următoarele seturi de acoperire a riscului în funcţie de natura determinantului lor de risc principal sau cel mai semnificativ determinant de risc într-o anumită</w:t>
            </w:r>
            <w:r w:rsidRPr="008070DB">
              <w:rPr>
                <w:rFonts w:ascii="Times New Roman" w:hAnsi="Times New Roman" w:cs="Times New Roman"/>
                <w:b/>
                <w:bCs/>
                <w:sz w:val="18"/>
                <w:szCs w:val="18"/>
                <w:lang w:val="ro-MD"/>
              </w:rPr>
              <w:t xml:space="preserve"> </w:t>
            </w:r>
            <w:r w:rsidRPr="008070DB">
              <w:rPr>
                <w:rFonts w:ascii="Times New Roman" w:hAnsi="Times New Roman" w:cs="Times New Roman"/>
                <w:sz w:val="18"/>
                <w:szCs w:val="18"/>
                <w:lang w:val="ro-MD"/>
              </w:rPr>
              <w:t xml:space="preserve">categorie de risc pentru tranzacţiile menţionate la punctul 57: </w:t>
            </w:r>
          </w:p>
          <w:p w14:paraId="3BFCC524"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59.5.1.</w:t>
            </w:r>
            <w:r w:rsidRPr="008070DB">
              <w:rPr>
                <w:rFonts w:ascii="Times New Roman" w:hAnsi="Times New Roman" w:cs="Times New Roman"/>
                <w:sz w:val="18"/>
                <w:szCs w:val="18"/>
                <w:lang w:val="ro-MD"/>
              </w:rPr>
              <w:tab/>
              <w:t xml:space="preserve">energie; </w:t>
            </w:r>
          </w:p>
          <w:p w14:paraId="6B23D070"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59.5.2.</w:t>
            </w:r>
            <w:r w:rsidRPr="008070DB">
              <w:rPr>
                <w:rFonts w:ascii="Times New Roman" w:hAnsi="Times New Roman" w:cs="Times New Roman"/>
                <w:sz w:val="18"/>
                <w:szCs w:val="18"/>
                <w:lang w:val="ro-MD"/>
              </w:rPr>
              <w:tab/>
              <w:t xml:space="preserve">metale; </w:t>
            </w:r>
          </w:p>
          <w:p w14:paraId="58005B23"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59.5.3.</w:t>
            </w:r>
            <w:r w:rsidRPr="008070DB">
              <w:rPr>
                <w:rFonts w:ascii="Times New Roman" w:hAnsi="Times New Roman" w:cs="Times New Roman"/>
                <w:sz w:val="18"/>
                <w:szCs w:val="18"/>
                <w:lang w:val="ro-MD"/>
              </w:rPr>
              <w:tab/>
              <w:t xml:space="preserve">produse agricole; </w:t>
            </w:r>
          </w:p>
          <w:p w14:paraId="20B530B3"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59.5.4.</w:t>
            </w:r>
            <w:r w:rsidRPr="008070DB">
              <w:rPr>
                <w:rFonts w:ascii="Times New Roman" w:hAnsi="Times New Roman" w:cs="Times New Roman"/>
                <w:sz w:val="18"/>
                <w:szCs w:val="18"/>
                <w:lang w:val="ro-MD"/>
              </w:rPr>
              <w:tab/>
              <w:t xml:space="preserve">alte mărfuri; </w:t>
            </w:r>
          </w:p>
          <w:p w14:paraId="6219F47A"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59.5.5.</w:t>
            </w:r>
            <w:r w:rsidRPr="008070DB">
              <w:rPr>
                <w:rFonts w:ascii="Times New Roman" w:hAnsi="Times New Roman" w:cs="Times New Roman"/>
                <w:sz w:val="18"/>
                <w:szCs w:val="18"/>
                <w:lang w:val="ro-MD"/>
              </w:rPr>
              <w:tab/>
              <w:t xml:space="preserve">condiţii climatice; </w:t>
            </w:r>
          </w:p>
          <w:p w14:paraId="18C4E808"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59.6.</w:t>
            </w:r>
            <w:r w:rsidRPr="008070DB">
              <w:rPr>
                <w:rFonts w:ascii="Times New Roman" w:hAnsi="Times New Roman" w:cs="Times New Roman"/>
                <w:sz w:val="18"/>
                <w:szCs w:val="18"/>
                <w:lang w:val="ro-MD"/>
              </w:rPr>
              <w:tab/>
              <w:t xml:space="preserve">tranzacţiile încadrate în alte categorii de risc se atribuie aceluiași set de acoperire a riscului numai în cazul în care determinantul lor de risc principal sau cel mai semnificativ determinant de risc într-o anumită categorie </w:t>
            </w:r>
            <w:r w:rsidRPr="008070DB">
              <w:rPr>
                <w:rFonts w:ascii="Times New Roman" w:hAnsi="Times New Roman" w:cs="Times New Roman"/>
                <w:sz w:val="18"/>
                <w:szCs w:val="18"/>
                <w:lang w:val="ro-MD"/>
              </w:rPr>
              <w:t xml:space="preserve">de risc pentru tranzacţiile menţionate la punctul 57 este identic. </w:t>
            </w:r>
          </w:p>
          <w:p w14:paraId="55062A1C"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60.</w:t>
            </w:r>
            <w:r w:rsidRPr="008070DB">
              <w:rPr>
                <w:rFonts w:ascii="Times New Roman" w:hAnsi="Times New Roman" w:cs="Times New Roman"/>
                <w:b/>
                <w:bCs/>
                <w:sz w:val="18"/>
                <w:szCs w:val="18"/>
                <w:lang w:val="ro-MD"/>
              </w:rPr>
              <w:tab/>
            </w:r>
            <w:r w:rsidRPr="008070DB">
              <w:rPr>
                <w:rFonts w:ascii="Times New Roman" w:hAnsi="Times New Roman" w:cs="Times New Roman"/>
                <w:sz w:val="18"/>
                <w:szCs w:val="18"/>
                <w:lang w:val="ro-MD"/>
              </w:rPr>
              <w:t xml:space="preserve">În sensul punctului 59 subpunctul 59.1., tranzacţiile încadrate în categoria de risc de rată a dobânzii care au ca determinant de risc principal o variabilă legată de inflaţie se atribuie unor seturi de acoperire a riscului distincte, altele decât seturile de acoperire a riscului stabilite pentru tranzacţiile încadrate în categoria de risc de rată a dobânzii care nu au ca determinant de risc principal o variabilă legată de inflaţie. Tranzacţiile respective se atribuie aceluiași set de acoperire a riscului numai în cazul în care determinantul lor de risc principal sau cel mai semnificativ determinant de risc într-o anumită categorie de risc pentru tranzacţiile menţionate la punctul 57 este denominat în aceeași monedă. </w:t>
            </w:r>
          </w:p>
          <w:p w14:paraId="688A5EA5"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61.</w:t>
            </w:r>
            <w:r w:rsidRPr="008070DB">
              <w:rPr>
                <w:rFonts w:ascii="Times New Roman" w:hAnsi="Times New Roman" w:cs="Times New Roman"/>
                <w:sz w:val="18"/>
                <w:szCs w:val="18"/>
                <w:lang w:val="ro-MD"/>
              </w:rPr>
              <w:tab/>
              <w:t xml:space="preserve">Prin derogare de la punctele 59 și 60, băncile stabilesc seturi de acoperire a riscului distincte în fiecare categorie de risc pentru următoarele tranzacţii: </w:t>
            </w:r>
          </w:p>
          <w:p w14:paraId="1F5DBE0E"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61.1.</w:t>
            </w:r>
            <w:r w:rsidRPr="008070DB">
              <w:rPr>
                <w:rFonts w:ascii="Times New Roman" w:hAnsi="Times New Roman" w:cs="Times New Roman"/>
                <w:sz w:val="18"/>
                <w:szCs w:val="18"/>
                <w:lang w:val="ro-MD"/>
              </w:rPr>
              <w:tab/>
              <w:t xml:space="preserve">tranzacţiile pentru care determinantul de risc principal sau cel mai semnificativ determinant de risc într-o anumită categorie de risc pentru tranzacţiile menţionate la punctul 57 este fie volatilitatea de piaţă implicită sau volatilitatea realizată a unui determinant de risc, fie corelaţia dintre doi determinanţi de risc; </w:t>
            </w:r>
          </w:p>
          <w:p w14:paraId="6A50D7F4"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61.2.</w:t>
            </w:r>
            <w:r w:rsidRPr="008070DB">
              <w:rPr>
                <w:rFonts w:ascii="Times New Roman" w:hAnsi="Times New Roman" w:cs="Times New Roman"/>
                <w:sz w:val="18"/>
                <w:szCs w:val="18"/>
                <w:lang w:val="ro-MD"/>
              </w:rPr>
              <w:tab/>
              <w:t>tranzacţiile pentru care determinantul de risc principal sau cel mai semnificativ determinant de risc într-o anumită categorie de risc pentru tranzacţiile menţionate la punctul 57 este reprezentat de diferenţa dintre doi determinanţi de risc încadraţi în aceeași categorie de risc sau tranzacţiile care constau</w:t>
            </w:r>
            <w:r w:rsidRPr="008070DB">
              <w:rPr>
                <w:rFonts w:ascii="Times New Roman" w:hAnsi="Times New Roman" w:cs="Times New Roman"/>
                <w:b/>
                <w:bCs/>
                <w:sz w:val="18"/>
                <w:szCs w:val="18"/>
                <w:lang w:val="ro-MD"/>
              </w:rPr>
              <w:t xml:space="preserve"> </w:t>
            </w:r>
            <w:r w:rsidRPr="008070DB">
              <w:rPr>
                <w:rFonts w:ascii="Times New Roman" w:hAnsi="Times New Roman" w:cs="Times New Roman"/>
                <w:sz w:val="18"/>
                <w:szCs w:val="18"/>
                <w:lang w:val="ro-MD"/>
              </w:rPr>
              <w:t>în două</w:t>
            </w:r>
            <w:r w:rsidRPr="008070DB">
              <w:rPr>
                <w:rFonts w:ascii="Times New Roman" w:hAnsi="Times New Roman" w:cs="Times New Roman"/>
                <w:b/>
                <w:bCs/>
                <w:sz w:val="18"/>
                <w:szCs w:val="18"/>
                <w:lang w:val="ro-MD"/>
              </w:rPr>
              <w:t xml:space="preserve"> </w:t>
            </w:r>
            <w:r w:rsidRPr="008070DB">
              <w:rPr>
                <w:rFonts w:ascii="Times New Roman" w:hAnsi="Times New Roman" w:cs="Times New Roman"/>
                <w:sz w:val="18"/>
                <w:szCs w:val="18"/>
                <w:lang w:val="ro-MD"/>
              </w:rPr>
              <w:t xml:space="preserve">segmente de plată denominate în aceeași monedă și pentru care un determinant de risc din aceeași categorie de risc ca și principalul determinant de risc este inclus în celălalt segment de plată decât cel care conţine determinantul de risc principal. </w:t>
            </w:r>
          </w:p>
          <w:p w14:paraId="3A79A6AC"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62.</w:t>
            </w:r>
            <w:r w:rsidRPr="008070DB">
              <w:rPr>
                <w:rFonts w:ascii="Times New Roman" w:hAnsi="Times New Roman" w:cs="Times New Roman"/>
                <w:b/>
                <w:bCs/>
                <w:sz w:val="18"/>
                <w:szCs w:val="18"/>
                <w:lang w:val="ro-MD"/>
              </w:rPr>
              <w:tab/>
            </w:r>
            <w:r w:rsidRPr="008070DB">
              <w:rPr>
                <w:rFonts w:ascii="Times New Roman" w:hAnsi="Times New Roman" w:cs="Times New Roman"/>
                <w:sz w:val="18"/>
                <w:szCs w:val="18"/>
                <w:lang w:val="ro-MD"/>
              </w:rPr>
              <w:t xml:space="preserve">În sensul punctului 61 subpunctului 61.1., băncile atribuie tranzacţiile aceluiași set de acoperire a riscului din categoria de risc relevantă numai în cazul în care determinantul de risc principal al acestora sau cel mai semnificativ determinant de risc într-o anumită categorie </w:t>
            </w:r>
            <w:r w:rsidRPr="008070DB">
              <w:rPr>
                <w:rFonts w:ascii="Times New Roman" w:hAnsi="Times New Roman" w:cs="Times New Roman"/>
                <w:sz w:val="18"/>
                <w:szCs w:val="18"/>
                <w:lang w:val="ro-MD"/>
              </w:rPr>
              <w:lastRenderedPageBreak/>
              <w:t xml:space="preserve">de risc pentru tranzacţiile menţionate la punctul 57 este identic. </w:t>
            </w:r>
          </w:p>
          <w:p w14:paraId="67FBF810" w14:textId="77777777" w:rsidR="000A14A7"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63.</w:t>
            </w:r>
            <w:r w:rsidRPr="008070DB">
              <w:rPr>
                <w:rFonts w:ascii="Times New Roman" w:hAnsi="Times New Roman" w:cs="Times New Roman"/>
                <w:b/>
                <w:bCs/>
                <w:sz w:val="18"/>
                <w:szCs w:val="18"/>
                <w:lang w:val="ro-MD"/>
              </w:rPr>
              <w:tab/>
            </w:r>
            <w:r w:rsidRPr="008070DB">
              <w:rPr>
                <w:rFonts w:ascii="Times New Roman" w:hAnsi="Times New Roman" w:cs="Times New Roman"/>
                <w:sz w:val="18"/>
                <w:szCs w:val="18"/>
                <w:lang w:val="ro-MD"/>
              </w:rPr>
              <w:t>În sensul punctului 61 subpunctului 61.2., băncile atribuie tranzacţiile aceluiași set de acoperire a riscului din categoria de risc relevantă numai în cazul în care perechea de determinanţi de risc din tranzacţiile menţionate la punctul 61 subpunctul 61.2. este identică, iar între cei doi determinanţi de risc care fac parte din pereche există o corelaţie pozitivă. În caz contrar, băncile atribuie tranzacţiile menţionate la punctul 61 subpunctul 61.2. unuia dintre seturile de acoperire a riscului stabilite în conformitate cu punctul 59 doar pe baza unuia dintre cei doi determinanţi de risc menţionaţi la punctul 61 subpunctul 61.2.</w:t>
            </w:r>
          </w:p>
          <w:p w14:paraId="48686703" w14:textId="77777777" w:rsidR="000A14A7" w:rsidRPr="008070DB" w:rsidRDefault="000A14A7"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sz w:val="18"/>
                <w:szCs w:val="18"/>
                <w:lang w:val="ro-MD"/>
              </w:rPr>
              <w:t>64.</w:t>
            </w:r>
            <w:r w:rsidRPr="008070DB">
              <w:rPr>
                <w:rFonts w:ascii="Times New Roman" w:hAnsi="Times New Roman" w:cs="Times New Roman"/>
                <w:b/>
                <w:bCs/>
                <w:sz w:val="18"/>
                <w:szCs w:val="18"/>
                <w:lang w:val="ro-MD"/>
              </w:rPr>
              <w:tab/>
            </w:r>
            <w:r w:rsidRPr="008070DB">
              <w:rPr>
                <w:rFonts w:ascii="Times New Roman" w:hAnsi="Times New Roman" w:cs="Times New Roman"/>
                <w:sz w:val="18"/>
                <w:szCs w:val="18"/>
                <w:lang w:val="ro-MD"/>
              </w:rPr>
              <w:t>În sensul punctului 61 subpunctul 61.1., băncile atribuie tranzacţiile unui set de acoperire a riscului distinct din categoria de risc relevantă urmând aceeași alcătuire a seturilor de acoperire a riscului prevăzută la punctul 59.</w:t>
            </w:r>
          </w:p>
          <w:p w14:paraId="005502AF" w14:textId="77777777" w:rsidR="001A4DE8" w:rsidRPr="008070DB" w:rsidRDefault="000A14A7" w:rsidP="003456B0">
            <w:pPr>
              <w:pStyle w:val="NoSpacing"/>
              <w:tabs>
                <w:tab w:val="left" w:pos="328"/>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65.</w:t>
            </w:r>
            <w:r w:rsidRPr="008070DB">
              <w:rPr>
                <w:rFonts w:ascii="Times New Roman" w:hAnsi="Times New Roman" w:cs="Times New Roman"/>
                <w:b/>
                <w:bCs/>
                <w:sz w:val="18"/>
                <w:szCs w:val="18"/>
                <w:lang w:val="ro-MD"/>
              </w:rPr>
              <w:tab/>
            </w:r>
            <w:r w:rsidRPr="008070DB">
              <w:rPr>
                <w:rFonts w:ascii="Times New Roman" w:hAnsi="Times New Roman" w:cs="Times New Roman"/>
                <w:sz w:val="18"/>
                <w:szCs w:val="18"/>
                <w:lang w:val="ro-MD"/>
              </w:rPr>
              <w:t>Băncile pun la dispoziţie, la cererea Băncii Naționale a Moldovei, informația cu referire la numărul de seturi de acoperire a riscului stabilite în conformitate cu punctele 61-64 pentru fiecare categorie de risc, împreună cu determinantul de risc principal sau cel mai semnificativ determinant de risc într-o anumită categorie de risc pentru tranzacţiile menţionate la punctul 57 sau perechea de determinanţi de risc aferentă fiecăruia dintre seturile</w:t>
            </w:r>
            <w:r w:rsidRPr="008070DB">
              <w:rPr>
                <w:rFonts w:ascii="Times New Roman" w:hAnsi="Times New Roman" w:cs="Times New Roman"/>
                <w:b/>
                <w:bCs/>
                <w:sz w:val="18"/>
                <w:szCs w:val="18"/>
                <w:lang w:val="ro-MD"/>
              </w:rPr>
              <w:t xml:space="preserve"> </w:t>
            </w:r>
            <w:r w:rsidRPr="008070DB">
              <w:rPr>
                <w:rFonts w:ascii="Times New Roman" w:hAnsi="Times New Roman" w:cs="Times New Roman"/>
                <w:sz w:val="18"/>
                <w:szCs w:val="18"/>
                <w:lang w:val="ro-MD"/>
              </w:rPr>
              <w:t>de acoperire a riscului respective și cu</w:t>
            </w:r>
            <w:r w:rsidRPr="008070DB">
              <w:rPr>
                <w:rFonts w:ascii="Times New Roman" w:hAnsi="Times New Roman" w:cs="Times New Roman"/>
                <w:b/>
                <w:bCs/>
                <w:sz w:val="18"/>
                <w:szCs w:val="18"/>
                <w:lang w:val="ro-MD"/>
              </w:rPr>
              <w:t xml:space="preserve"> </w:t>
            </w:r>
            <w:r w:rsidRPr="008070DB">
              <w:rPr>
                <w:rFonts w:ascii="Times New Roman" w:hAnsi="Times New Roman" w:cs="Times New Roman"/>
                <w:sz w:val="18"/>
                <w:szCs w:val="18"/>
                <w:lang w:val="ro-MD"/>
              </w:rPr>
              <w:t>numărul de tranzacţii din cadrul fiecărui set de acoperire a riscului.</w:t>
            </w:r>
          </w:p>
          <w:p w14:paraId="435446FD"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5695EB34"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1714BE5"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2F9BFA83"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5740C61D"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F05EF90"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CCB7778"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10FDECDE"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2FD30570"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6A09797A"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1D3E7A08"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1DEFBC4F"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5A131E6F"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FF32908"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22B2B24F"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13705A28"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15D21109"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6E1A93F3"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FE870CC"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E12AFA0"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522E43AD"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404802C9"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0DAD3963"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32F8564D"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14708590"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78085156" w14:textId="77777777" w:rsidR="00555E5C" w:rsidRPr="008070DB" w:rsidRDefault="00555E5C" w:rsidP="003456B0">
            <w:pPr>
              <w:pStyle w:val="NoSpacing"/>
              <w:tabs>
                <w:tab w:val="left" w:pos="328"/>
              </w:tabs>
              <w:jc w:val="both"/>
              <w:rPr>
                <w:rFonts w:ascii="Times New Roman" w:hAnsi="Times New Roman" w:cs="Times New Roman"/>
                <w:sz w:val="18"/>
                <w:szCs w:val="18"/>
                <w:lang w:val="ro-MD"/>
              </w:rPr>
            </w:pPr>
          </w:p>
          <w:p w14:paraId="7D03D9A3" w14:textId="722544C1" w:rsidR="00555E5C" w:rsidRPr="008070DB" w:rsidRDefault="00555E5C" w:rsidP="003456B0">
            <w:pPr>
              <w:pStyle w:val="NoSpacing"/>
              <w:tabs>
                <w:tab w:val="left" w:pos="328"/>
              </w:tabs>
              <w:jc w:val="both"/>
              <w:rPr>
                <w:rFonts w:ascii="Times New Roman" w:hAnsi="Times New Roman" w:cs="Times New Roman"/>
                <w:i/>
                <w:i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17C1505B" w14:textId="674D402B"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6E9B816B" w14:textId="77777777" w:rsidR="001A4DE8" w:rsidRPr="00A96E09" w:rsidRDefault="001A4DE8" w:rsidP="00C14AF6">
            <w:pPr>
              <w:jc w:val="both"/>
              <w:rPr>
                <w:sz w:val="18"/>
                <w:szCs w:val="18"/>
                <w:lang w:val="ro-MD"/>
              </w:rPr>
            </w:pPr>
          </w:p>
        </w:tc>
      </w:tr>
      <w:tr w:rsidR="001A4DE8" w:rsidRPr="00A96E09" w14:paraId="30B1C8DC" w14:textId="77777777" w:rsidTr="00C14AF6">
        <w:trPr>
          <w:trHeight w:val="918"/>
        </w:trPr>
        <w:tc>
          <w:tcPr>
            <w:tcW w:w="3866" w:type="dxa"/>
          </w:tcPr>
          <w:p w14:paraId="014925E1" w14:textId="3FA442A2"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278 </w:t>
            </w:r>
            <w:r w:rsidRPr="00A96E09">
              <w:rPr>
                <w:rFonts w:eastAsiaTheme="minorHAnsi"/>
                <w:b/>
                <w:bCs/>
                <w:color w:val="000000"/>
                <w:sz w:val="18"/>
                <w:szCs w:val="18"/>
                <w:lang w:val="ro-MD" w:eastAsia="en-US"/>
              </w:rPr>
              <w:t xml:space="preserve">Expunerea viitoare potenţială </w:t>
            </w:r>
          </w:p>
          <w:p w14:paraId="6E3EE906"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(1) Instituţiile calculează expunerea viitoare potenţială a unui set de compensare după cum urmează: </w:t>
            </w:r>
          </w:p>
          <w:p w14:paraId="7E7E8589"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noProof/>
                <w:color w:val="000000"/>
                <w:sz w:val="18"/>
                <w:szCs w:val="18"/>
                <w:lang w:val="ro-MD" w:eastAsia="en-US"/>
              </w:rPr>
              <w:drawing>
                <wp:inline distT="0" distB="0" distL="0" distR="0" wp14:anchorId="7AB7E79C" wp14:editId="7C3D4580">
                  <wp:extent cx="1595887" cy="272337"/>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6245" cy="274105"/>
                          </a:xfrm>
                          <a:prstGeom prst="rect">
                            <a:avLst/>
                          </a:prstGeom>
                          <a:noFill/>
                        </pic:spPr>
                      </pic:pic>
                    </a:graphicData>
                  </a:graphic>
                </wp:inline>
              </w:drawing>
            </w:r>
            <w:r w:rsidRPr="00A96E09">
              <w:rPr>
                <w:rFonts w:eastAsiaTheme="minorHAnsi"/>
                <w:color w:val="000000"/>
                <w:sz w:val="18"/>
                <w:szCs w:val="18"/>
                <w:lang w:val="ro-MD" w:eastAsia="en-US"/>
              </w:rPr>
              <w:t xml:space="preserve"> </w:t>
            </w:r>
          </w:p>
          <w:p w14:paraId="56D5D5F9"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unde: </w:t>
            </w:r>
          </w:p>
          <w:p w14:paraId="647E9F60"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PFE = expunerea viitoare potenţială; </w:t>
            </w:r>
          </w:p>
          <w:p w14:paraId="68B5119F"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 = indicele care desemnează categoriile de risc incluse în calculul expunerii viitoare potenţiale a setului de compensare; </w:t>
            </w:r>
          </w:p>
          <w:p w14:paraId="0571E23F"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AddOn </w:t>
            </w:r>
            <w:r w:rsidRPr="00A96E09">
              <w:rPr>
                <w:rFonts w:eastAsiaTheme="minorHAnsi"/>
                <w:color w:val="000000"/>
                <w:sz w:val="18"/>
                <w:szCs w:val="18"/>
                <w:vertAlign w:val="superscript"/>
                <w:lang w:val="ro-MD" w:eastAsia="en-US"/>
              </w:rPr>
              <w:t>(a)</w:t>
            </w:r>
            <w:r w:rsidRPr="00A96E09">
              <w:rPr>
                <w:rFonts w:eastAsiaTheme="minorHAnsi"/>
                <w:color w:val="000000"/>
                <w:sz w:val="18"/>
                <w:szCs w:val="18"/>
                <w:lang w:val="ro-MD" w:eastAsia="en-US"/>
              </w:rPr>
              <w:t xml:space="preserve"> = majorarea pentru categoria de risc a cal- culată în conformitate cu articolele 280a- 280f, după caz; și </w:t>
            </w:r>
          </w:p>
          <w:p w14:paraId="7D014A6C"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multiplicator (multiplier) = factorul de multiplicare calculat în conformitate cu formula menţionată la alineatul (3). </w:t>
            </w:r>
          </w:p>
          <w:p w14:paraId="359112A3"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În scopul acestui calcul, instituţiile includ majorarea (add-on) aferentă unei anumite categorii de risc în calculul expunerii viitoare potenţiale a unui set de compensare în cazul în care cel puţin o tranzacţie din setul de compensare a fost încadrată în categoria de risc respectivă. </w:t>
            </w:r>
          </w:p>
          <w:p w14:paraId="1984C55E"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lastRenderedPageBreak/>
              <w:t xml:space="preserve">(2) Expunerea viitoare potenţială a seturilor de compensare multiple care fac obiectul unui singur contract în marjă, astfel cum se menţionează la articolul 275 alineatul (3), se calculează ca suma expunerilor viitoare potenţiale a tuturor seturilor de compensare individuale ca și cum nu ar face obiectul niciunei forme de contract în marjă. </w:t>
            </w:r>
          </w:p>
          <w:p w14:paraId="15946BEF"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(3) În scopul alineatului (1), multiplicatorul se calculează după cum urmează: </w:t>
            </w:r>
          </w:p>
          <w:tbl>
            <w:tblPr>
              <w:tblStyle w:val="TableGrid"/>
              <w:tblW w:w="4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4"/>
              <w:gridCol w:w="425"/>
              <w:gridCol w:w="2028"/>
              <w:gridCol w:w="1091"/>
            </w:tblGrid>
            <w:tr w:rsidR="001A4DE8" w:rsidRPr="00A96E09" w14:paraId="75CB458C" w14:textId="77777777" w:rsidTr="00B11411">
              <w:trPr>
                <w:trHeight w:val="75"/>
              </w:trPr>
              <w:tc>
                <w:tcPr>
                  <w:tcW w:w="764" w:type="dxa"/>
                  <w:vMerge w:val="restart"/>
                </w:tcPr>
                <w:p w14:paraId="79FD7FEB"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0D21613F"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multiplicator =</w:t>
                  </w:r>
                </w:p>
                <w:p w14:paraId="549C5F90"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tc>
              <w:tc>
                <w:tcPr>
                  <w:tcW w:w="425" w:type="dxa"/>
                  <w:vMerge w:val="restart"/>
                </w:tcPr>
                <w:p w14:paraId="0E0B0190"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w:t>
                  </w:r>
                </w:p>
              </w:tc>
              <w:tc>
                <w:tcPr>
                  <w:tcW w:w="3119" w:type="dxa"/>
                  <w:gridSpan w:val="2"/>
                </w:tcPr>
                <w:p w14:paraId="5747BA84"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1 dacă z ≥ 0</w:t>
                  </w:r>
                </w:p>
              </w:tc>
            </w:tr>
            <w:tr w:rsidR="001A4DE8" w:rsidRPr="00EB7E01" w14:paraId="6C0DC30B" w14:textId="77777777" w:rsidTr="00B11411">
              <w:trPr>
                <w:trHeight w:val="39"/>
              </w:trPr>
              <w:tc>
                <w:tcPr>
                  <w:tcW w:w="764" w:type="dxa"/>
                  <w:vMerge/>
                </w:tcPr>
                <w:p w14:paraId="123805C5"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tc>
              <w:tc>
                <w:tcPr>
                  <w:tcW w:w="425" w:type="dxa"/>
                  <w:vMerge/>
                </w:tcPr>
                <w:p w14:paraId="0A421E6D"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tc>
              <w:tc>
                <w:tcPr>
                  <w:tcW w:w="2028" w:type="dxa"/>
                </w:tcPr>
                <w:p w14:paraId="2595F67E"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55A04D30" wp14:editId="01BE16DD">
                        <wp:extent cx="1346279" cy="276045"/>
                        <wp:effectExtent l="0" t="0" r="6350" b="0"/>
                        <wp:docPr id="5973842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1487853" cy="305074"/>
                                </a:xfrm>
                                <a:prstGeom prst="rect">
                                  <a:avLst/>
                                </a:prstGeom>
                                <a:noFill/>
                              </pic:spPr>
                            </pic:pic>
                          </a:graphicData>
                        </a:graphic>
                      </wp:inline>
                    </w:drawing>
                  </w:r>
                </w:p>
              </w:tc>
              <w:tc>
                <w:tcPr>
                  <w:tcW w:w="1091" w:type="dxa"/>
                </w:tcPr>
                <w:p w14:paraId="051E10C6"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6D763CF7"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dacă z&lt; 0</w:t>
                  </w:r>
                </w:p>
              </w:tc>
            </w:tr>
          </w:tbl>
          <w:p w14:paraId="67006BD0"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p>
          <w:p w14:paraId="1634FD4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unde: </w:t>
            </w:r>
          </w:p>
          <w:p w14:paraId="09E56A28"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Prag (floor) m = 5 %; </w:t>
            </w:r>
          </w:p>
          <w:p w14:paraId="41264072"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y = 2 · (1 – Prag m ) · Σ a AddOn (a) </w:t>
            </w:r>
          </w:p>
          <w:tbl>
            <w:tblPr>
              <w:tblStyle w:val="TableGrid"/>
              <w:tblW w:w="3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
              <w:gridCol w:w="452"/>
              <w:gridCol w:w="2727"/>
            </w:tblGrid>
            <w:tr w:rsidR="001A4DE8" w:rsidRPr="00EB7E01" w14:paraId="01EA082E" w14:textId="77777777" w:rsidTr="001018B3">
              <w:trPr>
                <w:trHeight w:val="427"/>
              </w:trPr>
              <w:tc>
                <w:tcPr>
                  <w:tcW w:w="384" w:type="dxa"/>
                  <w:vMerge w:val="restart"/>
                </w:tcPr>
                <w:p w14:paraId="73832CED"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0A5F864C"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0DAFD160"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2D001975"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z =</w:t>
                  </w:r>
                </w:p>
              </w:tc>
              <w:tc>
                <w:tcPr>
                  <w:tcW w:w="452" w:type="dxa"/>
                  <w:vMerge w:val="restart"/>
                </w:tcPr>
                <w:p w14:paraId="77DD5F37"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w:t>
                  </w:r>
                </w:p>
              </w:tc>
              <w:tc>
                <w:tcPr>
                  <w:tcW w:w="2727" w:type="dxa"/>
                </w:tcPr>
                <w:p w14:paraId="029AA64A"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CMV – NICA pentru seturile de compensare menţionate la articolul 275 alin.(1)</w:t>
                  </w:r>
                </w:p>
              </w:tc>
            </w:tr>
            <w:tr w:rsidR="001A4DE8" w:rsidRPr="00EB7E01" w14:paraId="599641E9" w14:textId="77777777" w:rsidTr="001018B3">
              <w:trPr>
                <w:trHeight w:val="113"/>
              </w:trPr>
              <w:tc>
                <w:tcPr>
                  <w:tcW w:w="384" w:type="dxa"/>
                  <w:vMerge/>
                </w:tcPr>
                <w:p w14:paraId="0A486F09"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p>
              </w:tc>
              <w:tc>
                <w:tcPr>
                  <w:tcW w:w="452" w:type="dxa"/>
                  <w:vMerge/>
                </w:tcPr>
                <w:p w14:paraId="17D857BA"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p>
              </w:tc>
              <w:tc>
                <w:tcPr>
                  <w:tcW w:w="2727" w:type="dxa"/>
                </w:tcPr>
                <w:p w14:paraId="61AA33E8"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CMV – VM – NICA pentru seturile de compensare menţionate la articolul 275 alin.(2)</w:t>
                  </w:r>
                </w:p>
              </w:tc>
            </w:tr>
            <w:tr w:rsidR="001A4DE8" w:rsidRPr="00EB7E01" w14:paraId="5A50457E" w14:textId="77777777" w:rsidTr="001018B3">
              <w:trPr>
                <w:trHeight w:val="113"/>
              </w:trPr>
              <w:tc>
                <w:tcPr>
                  <w:tcW w:w="384" w:type="dxa"/>
                  <w:vMerge/>
                </w:tcPr>
                <w:p w14:paraId="746B6E38"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p>
              </w:tc>
              <w:tc>
                <w:tcPr>
                  <w:tcW w:w="452" w:type="dxa"/>
                  <w:vMerge/>
                </w:tcPr>
                <w:p w14:paraId="58704DBB"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p>
              </w:tc>
              <w:tc>
                <w:tcPr>
                  <w:tcW w:w="2727" w:type="dxa"/>
                </w:tcPr>
                <w:p w14:paraId="6762F4A5"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CMV i – NICA i pentru seturile de compensare menţionate la articolul 275 alin.(3)</w:t>
                  </w:r>
                </w:p>
              </w:tc>
            </w:tr>
          </w:tbl>
          <w:p w14:paraId="5486CDA9" w14:textId="77777777" w:rsidR="001A4DE8" w:rsidRPr="00A96E09" w:rsidRDefault="001A4DE8" w:rsidP="003456B0">
            <w:pPr>
              <w:autoSpaceDE w:val="0"/>
              <w:autoSpaceDN w:val="0"/>
              <w:adjustRightInd w:val="0"/>
              <w:spacing w:before="60" w:after="60"/>
              <w:jc w:val="both"/>
              <w:rPr>
                <w:rFonts w:eastAsiaTheme="minorHAnsi"/>
                <w:color w:val="000000"/>
                <w:sz w:val="18"/>
                <w:szCs w:val="18"/>
                <w:lang w:val="ro-MD" w:eastAsia="en-US"/>
              </w:rPr>
            </w:pPr>
          </w:p>
          <w:p w14:paraId="5B601767" w14:textId="528CB2E5" w:rsidR="001A4DE8" w:rsidRPr="00A96E09" w:rsidRDefault="001A4DE8" w:rsidP="003456B0">
            <w:pPr>
              <w:pStyle w:val="title-article-norm"/>
              <w:jc w:val="both"/>
              <w:rPr>
                <w:i w:val="0"/>
                <w:sz w:val="18"/>
                <w:szCs w:val="18"/>
                <w:lang w:val="ro-MD"/>
              </w:rPr>
            </w:pPr>
            <w:r w:rsidRPr="00A96E09">
              <w:rPr>
                <w:rFonts w:eastAsiaTheme="minorHAnsi"/>
                <w:i w:val="0"/>
                <w:iCs w:val="0"/>
                <w:color w:val="000000"/>
                <w:sz w:val="18"/>
                <w:szCs w:val="18"/>
                <w:lang w:val="ro-MD"/>
              </w:rPr>
              <w:t>NICAi= suma independentă netă a garanţiilor reale calculată numai pentru tranzacţiile incluse în setul de compensare i. NICA i se calculează la nivel de tranzacţie sau la nivel de set de compensare, în funcţie de contractul în marjă.</w:t>
            </w:r>
          </w:p>
        </w:tc>
        <w:tc>
          <w:tcPr>
            <w:tcW w:w="4356" w:type="dxa"/>
          </w:tcPr>
          <w:p w14:paraId="747FC964" w14:textId="4E7ECF17" w:rsidR="001A4DE8" w:rsidRPr="008070DB" w:rsidRDefault="001A4DE8" w:rsidP="003456B0">
            <w:pPr>
              <w:pStyle w:val="CM4"/>
              <w:spacing w:before="60" w:after="60"/>
              <w:ind w:firstLine="567"/>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Secțiunea a 6-a</w:t>
            </w:r>
          </w:p>
          <w:p w14:paraId="655DE881" w14:textId="454E7D6F" w:rsidR="001A4DE8" w:rsidRPr="008070DB" w:rsidRDefault="001A4DE8" w:rsidP="003456B0">
            <w:pPr>
              <w:pStyle w:val="Default"/>
              <w:ind w:firstLine="567"/>
              <w:jc w:val="both"/>
              <w:rPr>
                <w:rFonts w:ascii="Times New Roman" w:hAnsi="Times New Roman" w:cs="Times New Roman"/>
                <w:b/>
                <w:bCs/>
                <w:sz w:val="18"/>
                <w:szCs w:val="18"/>
              </w:rPr>
            </w:pPr>
            <w:r w:rsidRPr="008070DB">
              <w:rPr>
                <w:rFonts w:ascii="Times New Roman" w:hAnsi="Times New Roman" w:cs="Times New Roman"/>
                <w:b/>
                <w:bCs/>
                <w:sz w:val="18"/>
                <w:szCs w:val="18"/>
              </w:rPr>
              <w:t>Expunerea viitoare potenţială și calculul poziţiei de risc</w:t>
            </w:r>
          </w:p>
          <w:p w14:paraId="7AAAD9D9" w14:textId="47F2F3C6" w:rsidR="00CA53DD" w:rsidRPr="008070DB" w:rsidRDefault="00376CEA" w:rsidP="003456B0">
            <w:pPr>
              <w:pStyle w:val="Default"/>
              <w:tabs>
                <w:tab w:val="left" w:pos="272"/>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6</w:t>
            </w:r>
            <w:r w:rsidR="00CA53DD" w:rsidRPr="008070DB">
              <w:rPr>
                <w:rFonts w:ascii="Times New Roman" w:hAnsi="Times New Roman" w:cs="Times New Roman"/>
                <w:b/>
                <w:bCs/>
                <w:sz w:val="18"/>
                <w:szCs w:val="18"/>
                <w:lang w:val="ro-MD"/>
              </w:rPr>
              <w:t>6.</w:t>
            </w:r>
            <w:r w:rsidR="00CA53DD" w:rsidRPr="008070DB">
              <w:rPr>
                <w:rFonts w:ascii="Times New Roman" w:hAnsi="Times New Roman" w:cs="Times New Roman"/>
                <w:b/>
                <w:bCs/>
                <w:sz w:val="18"/>
                <w:szCs w:val="18"/>
                <w:lang w:val="ro-MD"/>
              </w:rPr>
              <w:tab/>
            </w:r>
            <w:r w:rsidR="00CA53DD" w:rsidRPr="008070DB">
              <w:rPr>
                <w:rFonts w:ascii="Times New Roman" w:hAnsi="Times New Roman" w:cs="Times New Roman"/>
                <w:sz w:val="18"/>
                <w:szCs w:val="18"/>
                <w:lang w:val="ro-MD"/>
              </w:rPr>
              <w:t xml:space="preserve">Băncile calculează expunerea viitoare potenţială a unui set de compensare după cum urmează: </w:t>
            </w:r>
          </w:p>
          <w:p w14:paraId="07745EC2" w14:textId="74198968"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noProof/>
                <w:sz w:val="18"/>
                <w:szCs w:val="18"/>
                <w:lang w:val="ro-MD"/>
              </w:rPr>
              <w:drawing>
                <wp:inline distT="0" distB="0" distL="0" distR="0" wp14:anchorId="491FC29D" wp14:editId="29426B42">
                  <wp:extent cx="1656272" cy="282642"/>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9900" cy="283261"/>
                          </a:xfrm>
                          <a:prstGeom prst="rect">
                            <a:avLst/>
                          </a:prstGeom>
                          <a:noFill/>
                        </pic:spPr>
                      </pic:pic>
                    </a:graphicData>
                  </a:graphic>
                </wp:inline>
              </w:drawing>
            </w:r>
          </w:p>
          <w:p w14:paraId="13B8B1CC"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unde: </w:t>
            </w:r>
          </w:p>
          <w:p w14:paraId="2F899655"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PFE = expunerea viitoare potenţială; </w:t>
            </w:r>
          </w:p>
          <w:p w14:paraId="4C590FB3"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a = indicele care desemnează categoriile de risc incluse în calculul expunerii viitoare potenţiale a setului de compensare; </w:t>
            </w:r>
          </w:p>
          <w:p w14:paraId="0FBC112F" w14:textId="1E684D7C"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AddOn(a) = majorarea pentru categoria de risc calculată în conformitate cu punctele </w:t>
            </w:r>
            <w:r w:rsidR="00376CEA" w:rsidRPr="008070DB">
              <w:rPr>
                <w:rFonts w:ascii="Times New Roman" w:hAnsi="Times New Roman" w:cs="Times New Roman"/>
                <w:sz w:val="18"/>
                <w:szCs w:val="18"/>
                <w:lang w:val="ro-MD"/>
              </w:rPr>
              <w:t>7</w:t>
            </w:r>
            <w:r w:rsidRPr="008070DB">
              <w:rPr>
                <w:rFonts w:ascii="Times New Roman" w:hAnsi="Times New Roman" w:cs="Times New Roman"/>
                <w:sz w:val="18"/>
                <w:szCs w:val="18"/>
                <w:lang w:val="ro-MD"/>
              </w:rPr>
              <w:t>8-</w:t>
            </w:r>
            <w:r w:rsidR="00376CEA" w:rsidRPr="008070DB">
              <w:rPr>
                <w:rFonts w:ascii="Times New Roman" w:hAnsi="Times New Roman" w:cs="Times New Roman"/>
                <w:sz w:val="18"/>
                <w:szCs w:val="18"/>
                <w:lang w:val="ro-MD"/>
              </w:rPr>
              <w:t>9</w:t>
            </w:r>
            <w:r w:rsidRPr="008070DB">
              <w:rPr>
                <w:rFonts w:ascii="Times New Roman" w:hAnsi="Times New Roman" w:cs="Times New Roman"/>
                <w:sz w:val="18"/>
                <w:szCs w:val="18"/>
                <w:lang w:val="ro-MD"/>
              </w:rPr>
              <w:t xml:space="preserve">8, după caz; și </w:t>
            </w:r>
          </w:p>
          <w:p w14:paraId="3CEBF2AB" w14:textId="71F0950D"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multiplicator (multiplier) = factorul de multiplicare calculat în conformitate cu formula menţionată la punctul </w:t>
            </w:r>
            <w:r w:rsidR="00376CEA" w:rsidRPr="008070DB">
              <w:rPr>
                <w:rFonts w:ascii="Times New Roman" w:hAnsi="Times New Roman" w:cs="Times New Roman"/>
                <w:sz w:val="18"/>
                <w:szCs w:val="18"/>
                <w:lang w:val="ro-MD"/>
              </w:rPr>
              <w:t>6</w:t>
            </w:r>
            <w:r w:rsidRPr="008070DB">
              <w:rPr>
                <w:rFonts w:ascii="Times New Roman" w:hAnsi="Times New Roman" w:cs="Times New Roman"/>
                <w:sz w:val="18"/>
                <w:szCs w:val="18"/>
                <w:lang w:val="ro-MD"/>
              </w:rPr>
              <w:t xml:space="preserve">8. </w:t>
            </w:r>
          </w:p>
          <w:p w14:paraId="42C9659C"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În scopul acestui calcul, băncile includ majorarea (add-on) aferentă unei anumite categorii de risc în calculul expunerii viitoare potenţiale a unui set de compensare, în cazul în care cel puţin o tranzacţie din setul de compensare a fost încadrată în categoria de risc respectivă. </w:t>
            </w:r>
          </w:p>
          <w:p w14:paraId="434BE332" w14:textId="28B00075" w:rsidR="00CA53DD" w:rsidRPr="008070DB" w:rsidRDefault="00376CEA" w:rsidP="003456B0">
            <w:pPr>
              <w:pStyle w:val="Default"/>
              <w:tabs>
                <w:tab w:val="left" w:pos="272"/>
              </w:tabs>
              <w:jc w:val="both"/>
              <w:rPr>
                <w:rFonts w:ascii="Times New Roman" w:hAnsi="Times New Roman" w:cs="Times New Roman"/>
                <w:b/>
                <w:bCs/>
                <w:sz w:val="18"/>
                <w:szCs w:val="18"/>
                <w:lang w:val="ro-MD"/>
              </w:rPr>
            </w:pPr>
            <w:r w:rsidRPr="008070DB">
              <w:rPr>
                <w:rFonts w:ascii="Times New Roman" w:hAnsi="Times New Roman" w:cs="Times New Roman"/>
                <w:b/>
                <w:bCs/>
                <w:sz w:val="18"/>
                <w:szCs w:val="18"/>
                <w:lang w:val="ro-MD"/>
              </w:rPr>
              <w:t>6</w:t>
            </w:r>
            <w:r w:rsidR="00CA53DD" w:rsidRPr="008070DB">
              <w:rPr>
                <w:rFonts w:ascii="Times New Roman" w:hAnsi="Times New Roman" w:cs="Times New Roman"/>
                <w:b/>
                <w:bCs/>
                <w:sz w:val="18"/>
                <w:szCs w:val="18"/>
                <w:lang w:val="ro-MD"/>
              </w:rPr>
              <w:t>7.</w:t>
            </w:r>
            <w:r w:rsidR="00CA53DD" w:rsidRPr="008070DB">
              <w:rPr>
                <w:rFonts w:ascii="Times New Roman" w:hAnsi="Times New Roman" w:cs="Times New Roman"/>
                <w:b/>
                <w:bCs/>
                <w:sz w:val="18"/>
                <w:szCs w:val="18"/>
                <w:lang w:val="ro-MD"/>
              </w:rPr>
              <w:tab/>
            </w:r>
            <w:r w:rsidR="00CA53DD" w:rsidRPr="008070DB">
              <w:rPr>
                <w:rFonts w:ascii="Times New Roman" w:hAnsi="Times New Roman" w:cs="Times New Roman"/>
                <w:sz w:val="18"/>
                <w:szCs w:val="18"/>
                <w:lang w:val="ro-MD"/>
              </w:rPr>
              <w:t xml:space="preserve">Expunerea viitoare potenţială a seturilor de compensare multiple care fac obiectul unui singur contract în marjă, astfel cum se menţionează la punctul </w:t>
            </w:r>
            <w:r w:rsidRPr="008070DB">
              <w:rPr>
                <w:rFonts w:ascii="Times New Roman" w:hAnsi="Times New Roman" w:cs="Times New Roman"/>
                <w:sz w:val="18"/>
                <w:szCs w:val="18"/>
                <w:lang w:val="ro-MD"/>
              </w:rPr>
              <w:t>5</w:t>
            </w:r>
            <w:r w:rsidR="00CA53DD" w:rsidRPr="008070DB">
              <w:rPr>
                <w:rFonts w:ascii="Times New Roman" w:hAnsi="Times New Roman" w:cs="Times New Roman"/>
                <w:sz w:val="18"/>
                <w:szCs w:val="18"/>
                <w:lang w:val="ro-MD"/>
              </w:rPr>
              <w:t xml:space="preserve">1, </w:t>
            </w:r>
            <w:r w:rsidR="00CA53DD" w:rsidRPr="008070DB">
              <w:rPr>
                <w:rFonts w:ascii="Times New Roman" w:hAnsi="Times New Roman" w:cs="Times New Roman"/>
                <w:sz w:val="18"/>
                <w:szCs w:val="18"/>
                <w:lang w:val="ro-MD"/>
              </w:rPr>
              <w:lastRenderedPageBreak/>
              <w:t>se calculează ca suma expunerilor viitoare potenţiale a tuturor seturilor de compensare individuale ca și cum nu ar face obiectul niciunei forme de contract în marjă.</w:t>
            </w:r>
            <w:r w:rsidR="00CA53DD" w:rsidRPr="008070DB">
              <w:rPr>
                <w:rFonts w:ascii="Times New Roman" w:hAnsi="Times New Roman" w:cs="Times New Roman"/>
                <w:b/>
                <w:bCs/>
                <w:sz w:val="18"/>
                <w:szCs w:val="18"/>
                <w:lang w:val="ro-MD"/>
              </w:rPr>
              <w:t xml:space="preserve"> </w:t>
            </w:r>
          </w:p>
          <w:p w14:paraId="5157C09E" w14:textId="75710E88" w:rsidR="00CA53DD" w:rsidRPr="008070DB" w:rsidRDefault="00376CEA" w:rsidP="003456B0">
            <w:pPr>
              <w:pStyle w:val="Default"/>
              <w:tabs>
                <w:tab w:val="left" w:pos="272"/>
              </w:tabs>
              <w:jc w:val="both"/>
              <w:rPr>
                <w:rFonts w:ascii="Times New Roman" w:hAnsi="Times New Roman" w:cs="Times New Roman"/>
                <w:b/>
                <w:bCs/>
                <w:sz w:val="18"/>
                <w:szCs w:val="18"/>
                <w:lang w:val="ro-MD"/>
              </w:rPr>
            </w:pPr>
            <w:r w:rsidRPr="008070DB">
              <w:rPr>
                <w:rFonts w:ascii="Times New Roman" w:hAnsi="Times New Roman" w:cs="Times New Roman"/>
                <w:b/>
                <w:bCs/>
                <w:sz w:val="18"/>
                <w:szCs w:val="18"/>
                <w:lang w:val="ro-MD"/>
              </w:rPr>
              <w:t>6</w:t>
            </w:r>
            <w:r w:rsidR="00CA53DD" w:rsidRPr="008070DB">
              <w:rPr>
                <w:rFonts w:ascii="Times New Roman" w:hAnsi="Times New Roman" w:cs="Times New Roman"/>
                <w:b/>
                <w:bCs/>
                <w:sz w:val="18"/>
                <w:szCs w:val="18"/>
                <w:lang w:val="ro-MD"/>
              </w:rPr>
              <w:t>8.</w:t>
            </w:r>
            <w:r w:rsidR="00CA53DD" w:rsidRPr="008070DB">
              <w:rPr>
                <w:rFonts w:ascii="Times New Roman" w:hAnsi="Times New Roman" w:cs="Times New Roman"/>
                <w:b/>
                <w:bCs/>
                <w:sz w:val="18"/>
                <w:szCs w:val="18"/>
                <w:lang w:val="ro-MD"/>
              </w:rPr>
              <w:tab/>
            </w:r>
            <w:r w:rsidR="00CA53DD" w:rsidRPr="008070DB">
              <w:rPr>
                <w:rFonts w:ascii="Times New Roman" w:hAnsi="Times New Roman" w:cs="Times New Roman"/>
                <w:sz w:val="18"/>
                <w:szCs w:val="18"/>
                <w:lang w:val="ro-MD"/>
              </w:rPr>
              <w:t xml:space="preserve">În scopul punctului </w:t>
            </w:r>
            <w:r w:rsidRPr="008070DB">
              <w:rPr>
                <w:rFonts w:ascii="Times New Roman" w:hAnsi="Times New Roman" w:cs="Times New Roman"/>
                <w:sz w:val="18"/>
                <w:szCs w:val="18"/>
                <w:lang w:val="ro-MD"/>
              </w:rPr>
              <w:t>66</w:t>
            </w:r>
            <w:r w:rsidR="00CA53DD" w:rsidRPr="008070DB">
              <w:rPr>
                <w:rFonts w:ascii="Times New Roman" w:hAnsi="Times New Roman" w:cs="Times New Roman"/>
                <w:sz w:val="18"/>
                <w:szCs w:val="18"/>
                <w:lang w:val="ro-MD"/>
              </w:rPr>
              <w:t>, multiplicatorul se calculează după cum urmează:</w:t>
            </w:r>
            <w:r w:rsidR="00CA53DD" w:rsidRPr="008070DB">
              <w:rPr>
                <w:rFonts w:ascii="Times New Roman" w:hAnsi="Times New Roman" w:cs="Times New Roman"/>
                <w:b/>
                <w:bCs/>
                <w:sz w:val="18"/>
                <w:szCs w:val="18"/>
                <w:lang w:val="ro-MD"/>
              </w:rPr>
              <w:t xml:space="preserve"> </w:t>
            </w:r>
          </w:p>
          <w:p w14:paraId="2E8543DE" w14:textId="77777777" w:rsidR="00CA53DD" w:rsidRPr="008070DB" w:rsidRDefault="00CA53DD" w:rsidP="003456B0">
            <w:pPr>
              <w:pStyle w:val="Default"/>
              <w:jc w:val="both"/>
              <w:rPr>
                <w:rFonts w:ascii="Times New Roman" w:hAnsi="Times New Roman" w:cs="Times New Roman"/>
                <w:b/>
                <w:bCs/>
                <w:sz w:val="18"/>
                <w:szCs w:val="18"/>
                <w:lang w:val="ro-MD"/>
              </w:rPr>
            </w:pPr>
          </w:p>
          <w:p w14:paraId="4EA726E5" w14:textId="71F0EDF1"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multiplicator ={1 dacă z ≥ 0</w:t>
            </w:r>
          </w:p>
          <w:p w14:paraId="7D8BF1AF" w14:textId="2AC889B5" w:rsidR="00CA53DD" w:rsidRPr="008070DB" w:rsidRDefault="00CA53DD" w:rsidP="003456B0">
            <w:pPr>
              <w:pStyle w:val="Default"/>
              <w:jc w:val="both"/>
              <w:rPr>
                <w:rFonts w:ascii="Times New Roman" w:hAnsi="Times New Roman" w:cs="Times New Roman"/>
                <w:b/>
                <w:bCs/>
                <w:sz w:val="18"/>
                <w:szCs w:val="18"/>
                <w:lang w:val="ro-MD"/>
              </w:rPr>
            </w:pPr>
            <w:r w:rsidRPr="008070DB">
              <w:rPr>
                <w:rFonts w:ascii="Times New Roman" w:hAnsi="Times New Roman" w:cs="Times New Roman"/>
                <w:b/>
                <w:bCs/>
                <w:sz w:val="18"/>
                <w:szCs w:val="18"/>
                <w:lang w:val="ro-MD"/>
              </w:rPr>
              <w:tab/>
            </w:r>
            <w:r w:rsidRPr="008070DB">
              <w:rPr>
                <w:rFonts w:ascii="Times New Roman" w:hAnsi="Times New Roman" w:cs="Times New Roman"/>
                <w:b/>
                <w:bCs/>
                <w:sz w:val="18"/>
                <w:szCs w:val="18"/>
                <w:lang w:val="ro-MD"/>
              </w:rPr>
              <w:tab/>
            </w:r>
            <w:r w:rsidRPr="008070DB">
              <w:rPr>
                <w:rFonts w:ascii="Times New Roman" w:hAnsi="Times New Roman" w:cs="Times New Roman"/>
                <w:b/>
                <w:bCs/>
                <w:noProof/>
                <w:sz w:val="18"/>
                <w:szCs w:val="18"/>
                <w:lang w:val="ro-MD"/>
              </w:rPr>
              <w:drawing>
                <wp:inline distT="0" distB="0" distL="0" distR="0" wp14:anchorId="65038735" wp14:editId="0AE0B96B">
                  <wp:extent cx="871268" cy="177294"/>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0255" cy="201507"/>
                          </a:xfrm>
                          <a:prstGeom prst="rect">
                            <a:avLst/>
                          </a:prstGeom>
                          <a:noFill/>
                        </pic:spPr>
                      </pic:pic>
                    </a:graphicData>
                  </a:graphic>
                </wp:inline>
              </w:drawing>
            </w:r>
            <w:r w:rsidRPr="008070DB">
              <w:rPr>
                <w:rFonts w:ascii="Times New Roman" w:hAnsi="Times New Roman" w:cs="Times New Roman"/>
                <w:b/>
                <w:bCs/>
                <w:sz w:val="18"/>
                <w:szCs w:val="18"/>
                <w:lang w:val="ro-MD"/>
              </w:rPr>
              <w:tab/>
              <w:t>dacă z&lt; 0</w:t>
            </w:r>
          </w:p>
          <w:p w14:paraId="7CC3C640" w14:textId="77777777" w:rsidR="00CA53DD" w:rsidRPr="008070DB" w:rsidRDefault="00CA53DD" w:rsidP="003456B0">
            <w:pPr>
              <w:pStyle w:val="Default"/>
              <w:jc w:val="both"/>
              <w:rPr>
                <w:rFonts w:ascii="Times New Roman" w:hAnsi="Times New Roman" w:cs="Times New Roman"/>
                <w:b/>
                <w:bCs/>
                <w:sz w:val="18"/>
                <w:szCs w:val="18"/>
                <w:lang w:val="ro-MD"/>
              </w:rPr>
            </w:pPr>
          </w:p>
          <w:p w14:paraId="7D9972DE" w14:textId="77777777" w:rsidR="00CA53DD" w:rsidRPr="008070DB" w:rsidRDefault="00CA53DD" w:rsidP="003456B0">
            <w:pPr>
              <w:pStyle w:val="Default"/>
              <w:jc w:val="both"/>
              <w:rPr>
                <w:rFonts w:ascii="Times New Roman" w:hAnsi="Times New Roman" w:cs="Times New Roman"/>
                <w:b/>
                <w:bCs/>
                <w:sz w:val="18"/>
                <w:szCs w:val="18"/>
                <w:lang w:val="ro-MD"/>
              </w:rPr>
            </w:pPr>
          </w:p>
          <w:p w14:paraId="02D8A4F7"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unde: </w:t>
            </w:r>
          </w:p>
          <w:p w14:paraId="4C3D4403"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Prag (floor) m = 5 %; </w:t>
            </w:r>
          </w:p>
          <w:p w14:paraId="65670E57"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y = 2 · (1 – Pragm) · Σ a AddOn(a) </w:t>
            </w:r>
          </w:p>
          <w:p w14:paraId="3D9E1BFD" w14:textId="77777777" w:rsidR="00CA53DD" w:rsidRPr="008070DB" w:rsidRDefault="00CA53DD" w:rsidP="003456B0">
            <w:pPr>
              <w:pStyle w:val="Default"/>
              <w:jc w:val="both"/>
              <w:rPr>
                <w:rFonts w:ascii="Times New Roman" w:hAnsi="Times New Roman" w:cs="Times New Roman"/>
                <w:sz w:val="18"/>
                <w:szCs w:val="18"/>
                <w:lang w:val="ro-MD"/>
              </w:rPr>
            </w:pPr>
          </w:p>
          <w:p w14:paraId="58066D44" w14:textId="77777777" w:rsidR="00CA53DD" w:rsidRPr="008070DB" w:rsidRDefault="00CA53DD" w:rsidP="003456B0">
            <w:pPr>
              <w:pStyle w:val="Default"/>
              <w:jc w:val="both"/>
              <w:rPr>
                <w:rFonts w:ascii="Times New Roman" w:hAnsi="Times New Roman" w:cs="Times New Roman"/>
                <w:sz w:val="18"/>
                <w:szCs w:val="18"/>
                <w:lang w:val="ro-MD"/>
              </w:rPr>
            </w:pPr>
          </w:p>
          <w:p w14:paraId="099AB694" w14:textId="72B2EBF3" w:rsidR="00CA53DD" w:rsidRPr="008070DB" w:rsidRDefault="00CA53DD" w:rsidP="003456B0">
            <w:pPr>
              <w:pStyle w:val="Default"/>
              <w:tabs>
                <w:tab w:val="left" w:pos="272"/>
              </w:tabs>
              <w:ind w:left="697" w:hanging="697"/>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z =</w:t>
            </w:r>
            <w:r w:rsidRPr="008070DB">
              <w:rPr>
                <w:rFonts w:ascii="Times New Roman" w:hAnsi="Times New Roman" w:cs="Times New Roman"/>
                <w:sz w:val="18"/>
                <w:szCs w:val="18"/>
                <w:lang w:val="ro-MD"/>
              </w:rPr>
              <w:tab/>
              <w:t>{</w:t>
            </w:r>
            <w:r w:rsidRPr="008070DB">
              <w:rPr>
                <w:rFonts w:ascii="Times New Roman" w:hAnsi="Times New Roman" w:cs="Times New Roman"/>
                <w:sz w:val="18"/>
                <w:szCs w:val="18"/>
                <w:lang w:val="ro-MD"/>
              </w:rPr>
              <w:tab/>
              <w:t xml:space="preserve">CMV – NICA pentru seturile de compensare menţionate la punctul </w:t>
            </w:r>
            <w:r w:rsidR="00376CEA" w:rsidRPr="008070DB">
              <w:rPr>
                <w:rFonts w:ascii="Times New Roman" w:hAnsi="Times New Roman" w:cs="Times New Roman"/>
                <w:sz w:val="18"/>
                <w:szCs w:val="18"/>
                <w:lang w:val="ro-MD"/>
              </w:rPr>
              <w:t>4</w:t>
            </w:r>
            <w:r w:rsidRPr="008070DB">
              <w:rPr>
                <w:rFonts w:ascii="Times New Roman" w:hAnsi="Times New Roman" w:cs="Times New Roman"/>
                <w:sz w:val="18"/>
                <w:szCs w:val="18"/>
                <w:lang w:val="ro-MD"/>
              </w:rPr>
              <w:t>9</w:t>
            </w:r>
          </w:p>
          <w:p w14:paraId="0F5AFC53" w14:textId="76BC50AE" w:rsidR="00CA53DD" w:rsidRPr="008070DB" w:rsidRDefault="00CA53DD" w:rsidP="003456B0">
            <w:pPr>
              <w:pStyle w:val="Default"/>
              <w:tabs>
                <w:tab w:val="left" w:pos="272"/>
              </w:tabs>
              <w:jc w:val="both"/>
              <w:rPr>
                <w:rFonts w:ascii="Times New Roman" w:hAnsi="Times New Roman" w:cs="Times New Roman"/>
                <w:sz w:val="18"/>
                <w:szCs w:val="18"/>
                <w:lang w:val="ro-MD"/>
              </w:rPr>
            </w:pPr>
          </w:p>
          <w:p w14:paraId="5B3EC2EB" w14:textId="49A64970" w:rsidR="00CA53DD" w:rsidRPr="008070DB" w:rsidRDefault="00CA53DD" w:rsidP="003456B0">
            <w:pPr>
              <w:pStyle w:val="Default"/>
              <w:tabs>
                <w:tab w:val="left" w:pos="272"/>
                <w:tab w:val="left" w:pos="697"/>
              </w:tabs>
              <w:ind w:left="697"/>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ab/>
              <w:t xml:space="preserve">CMV – VM – NICA pentru seturile de compensare menţionate la punctul </w:t>
            </w:r>
            <w:r w:rsidR="00376CEA" w:rsidRPr="008070DB">
              <w:rPr>
                <w:rFonts w:ascii="Times New Roman" w:hAnsi="Times New Roman" w:cs="Times New Roman"/>
                <w:sz w:val="18"/>
                <w:szCs w:val="18"/>
                <w:lang w:val="ro-MD"/>
              </w:rPr>
              <w:t>5</w:t>
            </w:r>
            <w:r w:rsidRPr="008070DB">
              <w:rPr>
                <w:rFonts w:ascii="Times New Roman" w:hAnsi="Times New Roman" w:cs="Times New Roman"/>
                <w:sz w:val="18"/>
                <w:szCs w:val="18"/>
                <w:lang w:val="ro-MD"/>
              </w:rPr>
              <w:t>0</w:t>
            </w:r>
          </w:p>
          <w:p w14:paraId="261DABFE" w14:textId="6928DA6E" w:rsidR="00CA53DD" w:rsidRPr="008070DB" w:rsidRDefault="00CA53DD" w:rsidP="003456B0">
            <w:pPr>
              <w:pStyle w:val="Default"/>
              <w:tabs>
                <w:tab w:val="left" w:pos="272"/>
                <w:tab w:val="left" w:pos="697"/>
              </w:tabs>
              <w:ind w:left="697" w:hanging="425"/>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ab/>
            </w:r>
            <w:r w:rsidRPr="008070DB">
              <w:rPr>
                <w:rFonts w:ascii="Times New Roman" w:hAnsi="Times New Roman" w:cs="Times New Roman"/>
                <w:sz w:val="18"/>
                <w:szCs w:val="18"/>
                <w:lang w:val="ro-MD"/>
              </w:rPr>
              <w:tab/>
              <w:t xml:space="preserve">CMVi – NICAi pentru seturile de compensare menţionate la punctul </w:t>
            </w:r>
            <w:r w:rsidR="00376CEA" w:rsidRPr="008070DB">
              <w:rPr>
                <w:rFonts w:ascii="Times New Roman" w:hAnsi="Times New Roman" w:cs="Times New Roman"/>
                <w:sz w:val="18"/>
                <w:szCs w:val="18"/>
                <w:lang w:val="ro-MD"/>
              </w:rPr>
              <w:t>5</w:t>
            </w:r>
            <w:r w:rsidRPr="008070DB">
              <w:rPr>
                <w:rFonts w:ascii="Times New Roman" w:hAnsi="Times New Roman" w:cs="Times New Roman"/>
                <w:sz w:val="18"/>
                <w:szCs w:val="18"/>
                <w:lang w:val="ro-MD"/>
              </w:rPr>
              <w:t>1</w:t>
            </w:r>
          </w:p>
          <w:p w14:paraId="01D66FE8" w14:textId="77777777" w:rsidR="00CA53DD" w:rsidRPr="008070DB" w:rsidRDefault="00CA53DD" w:rsidP="003456B0">
            <w:pPr>
              <w:pStyle w:val="Default"/>
              <w:jc w:val="both"/>
              <w:rPr>
                <w:rFonts w:ascii="Times New Roman" w:hAnsi="Times New Roman" w:cs="Times New Roman"/>
                <w:b/>
                <w:bCs/>
                <w:sz w:val="18"/>
                <w:szCs w:val="18"/>
                <w:lang w:val="ro-MD"/>
              </w:rPr>
            </w:pPr>
          </w:p>
          <w:p w14:paraId="5B5BE60B" w14:textId="77777777" w:rsidR="00CA53DD"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NICAi = suma independentă netă a garanţiilor reale calculată numai pentru tranzacţiile incluse în setul de compensare i. NICAi se calculează la nivel de tranzacţie sau la nivel de set de compensare, în funcţie de contractul în marjă. </w:t>
            </w:r>
          </w:p>
          <w:p w14:paraId="668FD09B" w14:textId="77777777" w:rsidR="001A4DE8" w:rsidRPr="008070DB" w:rsidRDefault="00CA53D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w:t>
            </w:r>
          </w:p>
          <w:p w14:paraId="3738451D" w14:textId="77777777" w:rsidR="00555E5C" w:rsidRPr="008070DB" w:rsidRDefault="00555E5C" w:rsidP="003456B0">
            <w:pPr>
              <w:pStyle w:val="Default"/>
              <w:jc w:val="both"/>
              <w:rPr>
                <w:rFonts w:ascii="Times New Roman" w:hAnsi="Times New Roman" w:cs="Times New Roman"/>
                <w:sz w:val="18"/>
                <w:szCs w:val="18"/>
                <w:lang w:val="ro-MD"/>
              </w:rPr>
            </w:pPr>
          </w:p>
          <w:p w14:paraId="5D5E9D22" w14:textId="77777777" w:rsidR="00555E5C" w:rsidRPr="008070DB" w:rsidRDefault="00555E5C" w:rsidP="003456B0">
            <w:pPr>
              <w:pStyle w:val="Default"/>
              <w:jc w:val="both"/>
              <w:rPr>
                <w:rFonts w:ascii="Times New Roman" w:hAnsi="Times New Roman" w:cs="Times New Roman"/>
                <w:sz w:val="18"/>
                <w:szCs w:val="18"/>
                <w:lang w:val="ro-MD"/>
              </w:rPr>
            </w:pPr>
          </w:p>
          <w:p w14:paraId="6A26F0E6" w14:textId="77777777" w:rsidR="00555E5C" w:rsidRPr="008070DB" w:rsidRDefault="00555E5C" w:rsidP="003456B0">
            <w:pPr>
              <w:pStyle w:val="Default"/>
              <w:jc w:val="both"/>
              <w:rPr>
                <w:rFonts w:ascii="Times New Roman" w:hAnsi="Times New Roman" w:cs="Times New Roman"/>
                <w:sz w:val="18"/>
                <w:szCs w:val="18"/>
                <w:lang w:val="ro-MD"/>
              </w:rPr>
            </w:pPr>
          </w:p>
          <w:p w14:paraId="6EF9FA0A" w14:textId="77777777" w:rsidR="00555E5C" w:rsidRPr="008070DB" w:rsidRDefault="00555E5C" w:rsidP="003456B0">
            <w:pPr>
              <w:pStyle w:val="Default"/>
              <w:jc w:val="both"/>
              <w:rPr>
                <w:rFonts w:ascii="Times New Roman" w:hAnsi="Times New Roman" w:cs="Times New Roman"/>
                <w:sz w:val="18"/>
                <w:szCs w:val="18"/>
                <w:lang w:val="ro-MD"/>
              </w:rPr>
            </w:pPr>
          </w:p>
          <w:p w14:paraId="4A7EA35F" w14:textId="77777777" w:rsidR="00555E5C" w:rsidRPr="008070DB" w:rsidRDefault="00555E5C" w:rsidP="003456B0">
            <w:pPr>
              <w:pStyle w:val="Default"/>
              <w:jc w:val="both"/>
              <w:rPr>
                <w:rFonts w:ascii="Times New Roman" w:hAnsi="Times New Roman" w:cs="Times New Roman"/>
                <w:sz w:val="18"/>
                <w:szCs w:val="18"/>
                <w:lang w:val="ro-MD"/>
              </w:rPr>
            </w:pPr>
          </w:p>
          <w:p w14:paraId="29C1499B" w14:textId="77777777" w:rsidR="00555E5C" w:rsidRPr="008070DB" w:rsidRDefault="00555E5C" w:rsidP="003456B0">
            <w:pPr>
              <w:pStyle w:val="Default"/>
              <w:jc w:val="both"/>
              <w:rPr>
                <w:rFonts w:ascii="Times New Roman" w:hAnsi="Times New Roman" w:cs="Times New Roman"/>
                <w:sz w:val="18"/>
                <w:szCs w:val="18"/>
                <w:lang w:val="ro-MD"/>
              </w:rPr>
            </w:pPr>
          </w:p>
          <w:p w14:paraId="106EBD49" w14:textId="4232367B" w:rsidR="00555E5C" w:rsidRPr="008070DB" w:rsidRDefault="00555E5C" w:rsidP="003456B0">
            <w:pPr>
              <w:pStyle w:val="NoSpacing"/>
              <w:tabs>
                <w:tab w:val="left" w:pos="328"/>
              </w:tabs>
              <w:jc w:val="both"/>
              <w:rPr>
                <w:rFonts w:ascii="Times New Roman" w:hAnsi="Times New Roman" w:cs="Times New Roman"/>
                <w:b/>
                <w:b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03605E75" w14:textId="40F23AF8"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60A0A49D" w14:textId="77777777" w:rsidR="001A4DE8" w:rsidRPr="00A96E09" w:rsidRDefault="001A4DE8" w:rsidP="00C14AF6">
            <w:pPr>
              <w:jc w:val="both"/>
              <w:rPr>
                <w:sz w:val="18"/>
                <w:szCs w:val="18"/>
                <w:lang w:val="ro-MD"/>
              </w:rPr>
            </w:pPr>
          </w:p>
        </w:tc>
      </w:tr>
      <w:tr w:rsidR="001A4DE8" w:rsidRPr="00A96E09" w14:paraId="7A63E788" w14:textId="77777777" w:rsidTr="00C14AF6">
        <w:trPr>
          <w:trHeight w:val="918"/>
        </w:trPr>
        <w:tc>
          <w:tcPr>
            <w:tcW w:w="3866" w:type="dxa"/>
          </w:tcPr>
          <w:p w14:paraId="71530BD1" w14:textId="766EBA73"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279 </w:t>
            </w:r>
            <w:r w:rsidRPr="00A96E09">
              <w:rPr>
                <w:rFonts w:ascii="Times New Roman" w:hAnsi="Times New Roman"/>
                <w:b/>
                <w:bCs/>
                <w:color w:val="000000"/>
                <w:sz w:val="18"/>
                <w:szCs w:val="18"/>
              </w:rPr>
              <w:t>Calculul poziţiei de risc</w:t>
            </w:r>
          </w:p>
          <w:p w14:paraId="19F9344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Pentru calcularea majorărilor aferente categoriilor de risc menţionate la articolele 280a-280f, instituţiile calculează poziţia de risc (RiskPosition) a fiecărei tranzacţii dintr-un set de compensare după cum urmează: </w:t>
            </w:r>
          </w:p>
          <w:p w14:paraId="0857829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Poziţia de risc = δ · AdjNot · MF</w:t>
            </w:r>
          </w:p>
          <w:p w14:paraId="203A1C9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7068CEF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δ = delta reglementat al tranzacţiei, calculat în conformitate cu formula prevăzută la articolul </w:t>
            </w:r>
            <w:proofErr w:type="gramStart"/>
            <w:r w:rsidRPr="00A96E09">
              <w:rPr>
                <w:rFonts w:ascii="Times New Roman" w:hAnsi="Times New Roman"/>
                <w:color w:val="000000"/>
                <w:sz w:val="18"/>
                <w:szCs w:val="18"/>
              </w:rPr>
              <w:t>279a;</w:t>
            </w:r>
            <w:proofErr w:type="gramEnd"/>
            <w:r w:rsidRPr="00A96E09">
              <w:rPr>
                <w:rFonts w:ascii="Times New Roman" w:hAnsi="Times New Roman"/>
                <w:color w:val="000000"/>
                <w:sz w:val="18"/>
                <w:szCs w:val="18"/>
              </w:rPr>
              <w:t xml:space="preserve"> </w:t>
            </w:r>
          </w:p>
          <w:p w14:paraId="7FD88CF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AdjNot = valoarea noţională ajustată a tranzacţiei, calculată în conformitate cu articolul 279b; și </w:t>
            </w:r>
          </w:p>
          <w:p w14:paraId="68F15719" w14:textId="5A6C2484" w:rsidR="001A4DE8" w:rsidRPr="00555E5C"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MF = factorul de ajustare în funcţie de scadenţă al tranzacţiei, calculat în conformitate cu formula prevăzută la articolul 279c.  </w:t>
            </w:r>
          </w:p>
        </w:tc>
        <w:tc>
          <w:tcPr>
            <w:tcW w:w="4356" w:type="dxa"/>
          </w:tcPr>
          <w:p w14:paraId="265A7A8E" w14:textId="72E8E518" w:rsidR="005F3C52" w:rsidRPr="008070DB" w:rsidRDefault="00376CEA" w:rsidP="003456B0">
            <w:pPr>
              <w:pStyle w:val="Default"/>
              <w:tabs>
                <w:tab w:val="left" w:pos="272"/>
              </w:tabs>
              <w:jc w:val="both"/>
              <w:rPr>
                <w:rFonts w:ascii="Times New Roman" w:hAnsi="Times New Roman" w:cs="Times New Roman"/>
                <w:sz w:val="18"/>
                <w:szCs w:val="18"/>
                <w:lang w:val="ro-MD"/>
              </w:rPr>
            </w:pPr>
            <w:r w:rsidRPr="008070DB">
              <w:rPr>
                <w:rFonts w:ascii="Times New Roman" w:hAnsi="Times New Roman" w:cs="Times New Roman"/>
                <w:b/>
                <w:bCs/>
                <w:sz w:val="18"/>
                <w:szCs w:val="18"/>
                <w:lang w:val="ro-MD"/>
              </w:rPr>
              <w:t>6</w:t>
            </w:r>
            <w:r w:rsidR="005F3C52" w:rsidRPr="008070DB">
              <w:rPr>
                <w:rFonts w:ascii="Times New Roman" w:hAnsi="Times New Roman" w:cs="Times New Roman"/>
                <w:b/>
                <w:bCs/>
                <w:sz w:val="18"/>
                <w:szCs w:val="18"/>
                <w:lang w:val="ro-MD"/>
              </w:rPr>
              <w:t>9.</w:t>
            </w:r>
            <w:r w:rsidR="005F3C52" w:rsidRPr="008070DB">
              <w:rPr>
                <w:rFonts w:ascii="Times New Roman" w:hAnsi="Times New Roman" w:cs="Times New Roman"/>
                <w:b/>
                <w:bCs/>
                <w:sz w:val="18"/>
                <w:szCs w:val="18"/>
                <w:lang w:val="ro-MD"/>
              </w:rPr>
              <w:tab/>
            </w:r>
            <w:r w:rsidR="005F3C52" w:rsidRPr="008070DB">
              <w:rPr>
                <w:rFonts w:ascii="Times New Roman" w:hAnsi="Times New Roman" w:cs="Times New Roman"/>
                <w:sz w:val="18"/>
                <w:szCs w:val="18"/>
                <w:lang w:val="ro-MD"/>
              </w:rPr>
              <w:t xml:space="preserve">Pentru calcularea majorărilor aferente categoriilor de risc menţionate la punctele </w:t>
            </w:r>
            <w:r w:rsidRPr="008070DB">
              <w:rPr>
                <w:rFonts w:ascii="Times New Roman" w:hAnsi="Times New Roman" w:cs="Times New Roman"/>
                <w:sz w:val="18"/>
                <w:szCs w:val="18"/>
                <w:lang w:val="ro-MD"/>
              </w:rPr>
              <w:t>7</w:t>
            </w:r>
            <w:r w:rsidR="005F3C52" w:rsidRPr="008070DB">
              <w:rPr>
                <w:rFonts w:ascii="Times New Roman" w:hAnsi="Times New Roman" w:cs="Times New Roman"/>
                <w:sz w:val="18"/>
                <w:szCs w:val="18"/>
                <w:lang w:val="ro-MD"/>
              </w:rPr>
              <w:t>8-</w:t>
            </w:r>
            <w:r w:rsidRPr="008070DB">
              <w:rPr>
                <w:rFonts w:ascii="Times New Roman" w:hAnsi="Times New Roman" w:cs="Times New Roman"/>
                <w:sz w:val="18"/>
                <w:szCs w:val="18"/>
                <w:lang w:val="ro-MD"/>
              </w:rPr>
              <w:t>9</w:t>
            </w:r>
            <w:r w:rsidR="005F3C52" w:rsidRPr="008070DB">
              <w:rPr>
                <w:rFonts w:ascii="Times New Roman" w:hAnsi="Times New Roman" w:cs="Times New Roman"/>
                <w:sz w:val="18"/>
                <w:szCs w:val="18"/>
                <w:lang w:val="ro-MD"/>
              </w:rPr>
              <w:t xml:space="preserve">8, băncile calculează poziţia de risc (RiskPosition) a fiecărei tranzacţii dintr-un set de compensare după cum urmează: </w:t>
            </w:r>
          </w:p>
          <w:p w14:paraId="781C5AFF" w14:textId="77777777" w:rsidR="005F3C52" w:rsidRPr="008070DB" w:rsidRDefault="005F3C52"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Poziţia de risc = δ · AdjNot · MF</w:t>
            </w:r>
          </w:p>
          <w:p w14:paraId="72DBD86D" w14:textId="77777777" w:rsidR="005F3C52" w:rsidRPr="008070DB" w:rsidRDefault="005F3C52"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unde: </w:t>
            </w:r>
          </w:p>
          <w:p w14:paraId="770ACE19" w14:textId="3C83E6DA" w:rsidR="005F3C52" w:rsidRPr="008070DB" w:rsidRDefault="005F3C52"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δ = delta reglementat al tranzacţiei, calculat în conformitate cu formula prevăzută la punctele </w:t>
            </w:r>
            <w:r w:rsidR="00376CEA" w:rsidRPr="008070DB">
              <w:rPr>
                <w:rFonts w:ascii="Times New Roman" w:hAnsi="Times New Roman" w:cs="Times New Roman"/>
                <w:sz w:val="18"/>
                <w:szCs w:val="18"/>
                <w:lang w:val="ro-MD"/>
              </w:rPr>
              <w:t>7</w:t>
            </w:r>
            <w:r w:rsidRPr="008070DB">
              <w:rPr>
                <w:rFonts w:ascii="Times New Roman" w:hAnsi="Times New Roman" w:cs="Times New Roman"/>
                <w:sz w:val="18"/>
                <w:szCs w:val="18"/>
                <w:lang w:val="ro-MD"/>
              </w:rPr>
              <w:t xml:space="preserve">0 și </w:t>
            </w:r>
            <w:r w:rsidR="00376CEA" w:rsidRPr="008070DB">
              <w:rPr>
                <w:rFonts w:ascii="Times New Roman" w:hAnsi="Times New Roman" w:cs="Times New Roman"/>
                <w:sz w:val="18"/>
                <w:szCs w:val="18"/>
                <w:lang w:val="ro-MD"/>
              </w:rPr>
              <w:t>7</w:t>
            </w:r>
            <w:r w:rsidRPr="008070DB">
              <w:rPr>
                <w:rFonts w:ascii="Times New Roman" w:hAnsi="Times New Roman" w:cs="Times New Roman"/>
                <w:sz w:val="18"/>
                <w:szCs w:val="18"/>
                <w:lang w:val="ro-MD"/>
              </w:rPr>
              <w:t xml:space="preserve">1; </w:t>
            </w:r>
          </w:p>
          <w:p w14:paraId="749182B3" w14:textId="0F63C80D" w:rsidR="005F3C52" w:rsidRPr="008070DB" w:rsidRDefault="005F3C52"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 xml:space="preserve">AdjNot = valoarea noţională ajustată a tranzacţiei, calculată în conformitate cu punctele </w:t>
            </w:r>
            <w:r w:rsidR="00376CEA" w:rsidRPr="008070DB">
              <w:rPr>
                <w:rFonts w:ascii="Times New Roman" w:hAnsi="Times New Roman" w:cs="Times New Roman"/>
                <w:sz w:val="18"/>
                <w:szCs w:val="18"/>
                <w:lang w:val="ro-MD"/>
              </w:rPr>
              <w:t>7</w:t>
            </w:r>
            <w:r w:rsidRPr="008070DB">
              <w:rPr>
                <w:rFonts w:ascii="Times New Roman" w:hAnsi="Times New Roman" w:cs="Times New Roman"/>
                <w:sz w:val="18"/>
                <w:szCs w:val="18"/>
                <w:lang w:val="ro-MD"/>
              </w:rPr>
              <w:t>2-</w:t>
            </w:r>
            <w:r w:rsidR="00376CEA" w:rsidRPr="008070DB">
              <w:rPr>
                <w:rFonts w:ascii="Times New Roman" w:hAnsi="Times New Roman" w:cs="Times New Roman"/>
                <w:sz w:val="18"/>
                <w:szCs w:val="18"/>
                <w:lang w:val="ro-MD"/>
              </w:rPr>
              <w:t>7</w:t>
            </w:r>
            <w:r w:rsidRPr="008070DB">
              <w:rPr>
                <w:rFonts w:ascii="Times New Roman" w:hAnsi="Times New Roman" w:cs="Times New Roman"/>
                <w:sz w:val="18"/>
                <w:szCs w:val="18"/>
                <w:lang w:val="ro-MD"/>
              </w:rPr>
              <w:t xml:space="preserve">4; și </w:t>
            </w:r>
          </w:p>
          <w:p w14:paraId="1122B112" w14:textId="77777777" w:rsidR="001A4DE8" w:rsidRPr="008070DB" w:rsidRDefault="005F3C52" w:rsidP="003456B0">
            <w:pPr>
              <w:autoSpaceDE w:val="0"/>
              <w:autoSpaceDN w:val="0"/>
              <w:adjustRightInd w:val="0"/>
              <w:jc w:val="both"/>
              <w:rPr>
                <w:sz w:val="18"/>
                <w:szCs w:val="18"/>
                <w:lang w:val="ro-MD"/>
              </w:rPr>
            </w:pPr>
            <w:r w:rsidRPr="008070DB">
              <w:rPr>
                <w:sz w:val="18"/>
                <w:szCs w:val="18"/>
                <w:lang w:val="ro-MD"/>
              </w:rPr>
              <w:t xml:space="preserve">MF = factorul de ajustare în funcţie de scadenţă al tranzacţiei, calculat în conformitate cu formula prevăzută la punctele </w:t>
            </w:r>
            <w:r w:rsidR="00376CEA" w:rsidRPr="008070DB">
              <w:rPr>
                <w:sz w:val="18"/>
                <w:szCs w:val="18"/>
                <w:lang w:val="ro-MD"/>
              </w:rPr>
              <w:t>7</w:t>
            </w:r>
            <w:r w:rsidRPr="008070DB">
              <w:rPr>
                <w:sz w:val="18"/>
                <w:szCs w:val="18"/>
                <w:lang w:val="ro-MD"/>
              </w:rPr>
              <w:t>5-</w:t>
            </w:r>
            <w:r w:rsidR="00376CEA" w:rsidRPr="008070DB">
              <w:rPr>
                <w:sz w:val="18"/>
                <w:szCs w:val="18"/>
                <w:lang w:val="ro-MD"/>
              </w:rPr>
              <w:t>7</w:t>
            </w:r>
            <w:r w:rsidRPr="008070DB">
              <w:rPr>
                <w:sz w:val="18"/>
                <w:szCs w:val="18"/>
                <w:lang w:val="ro-MD"/>
              </w:rPr>
              <w:t>6</w:t>
            </w:r>
            <w:r w:rsidR="00A1193E" w:rsidRPr="008070DB">
              <w:rPr>
                <w:sz w:val="18"/>
                <w:szCs w:val="18"/>
                <w:lang w:val="ro-MD"/>
              </w:rPr>
              <w:t>.</w:t>
            </w:r>
          </w:p>
          <w:p w14:paraId="58F86F05" w14:textId="77777777" w:rsidR="00555E5C" w:rsidRPr="008070DB" w:rsidRDefault="00555E5C" w:rsidP="003456B0">
            <w:pPr>
              <w:autoSpaceDE w:val="0"/>
              <w:autoSpaceDN w:val="0"/>
              <w:adjustRightInd w:val="0"/>
              <w:jc w:val="both"/>
              <w:rPr>
                <w:sz w:val="18"/>
                <w:szCs w:val="18"/>
                <w:lang w:val="ro-MD"/>
              </w:rPr>
            </w:pPr>
          </w:p>
          <w:p w14:paraId="0C301F4A" w14:textId="77777777" w:rsidR="00555E5C" w:rsidRPr="008070DB" w:rsidRDefault="00555E5C" w:rsidP="003456B0">
            <w:pPr>
              <w:autoSpaceDE w:val="0"/>
              <w:autoSpaceDN w:val="0"/>
              <w:adjustRightInd w:val="0"/>
              <w:jc w:val="both"/>
              <w:rPr>
                <w:sz w:val="18"/>
                <w:szCs w:val="18"/>
                <w:lang w:val="ro-MD"/>
              </w:rPr>
            </w:pPr>
          </w:p>
          <w:p w14:paraId="5259A2E2" w14:textId="77777777" w:rsidR="00555E5C" w:rsidRPr="008070DB" w:rsidRDefault="00555E5C" w:rsidP="003456B0">
            <w:pPr>
              <w:autoSpaceDE w:val="0"/>
              <w:autoSpaceDN w:val="0"/>
              <w:adjustRightInd w:val="0"/>
              <w:jc w:val="both"/>
              <w:rPr>
                <w:sz w:val="18"/>
                <w:szCs w:val="18"/>
                <w:lang w:val="ro-MD"/>
              </w:rPr>
            </w:pPr>
          </w:p>
          <w:p w14:paraId="207DF77F" w14:textId="77777777" w:rsidR="00555E5C" w:rsidRPr="008070DB" w:rsidRDefault="00555E5C" w:rsidP="003456B0">
            <w:pPr>
              <w:autoSpaceDE w:val="0"/>
              <w:autoSpaceDN w:val="0"/>
              <w:adjustRightInd w:val="0"/>
              <w:jc w:val="both"/>
              <w:rPr>
                <w:sz w:val="18"/>
                <w:szCs w:val="18"/>
                <w:lang w:val="ro-MD"/>
              </w:rPr>
            </w:pPr>
          </w:p>
          <w:p w14:paraId="0DA74190" w14:textId="281CD4B4" w:rsidR="00555E5C" w:rsidRPr="008070DB" w:rsidRDefault="00555E5C" w:rsidP="003456B0">
            <w:pPr>
              <w:pStyle w:val="NoSpacing"/>
              <w:tabs>
                <w:tab w:val="left" w:pos="328"/>
              </w:tabs>
              <w:jc w:val="both"/>
              <w:rPr>
                <w:b/>
                <w:bCs/>
                <w:sz w:val="18"/>
                <w:szCs w:val="18"/>
                <w:lang w:val="ro-MD"/>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648ADEDE" w14:textId="37B95F5B" w:rsidR="001A4DE8" w:rsidRPr="00A96E09" w:rsidRDefault="001A4DE8"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6EC6A41C" w14:textId="77777777" w:rsidR="001A4DE8" w:rsidRPr="00A96E09" w:rsidRDefault="001A4DE8" w:rsidP="00C14AF6">
            <w:pPr>
              <w:jc w:val="both"/>
              <w:rPr>
                <w:sz w:val="18"/>
                <w:szCs w:val="18"/>
                <w:lang w:val="ro-MD"/>
              </w:rPr>
            </w:pPr>
          </w:p>
        </w:tc>
      </w:tr>
      <w:tr w:rsidR="001A4DE8" w:rsidRPr="00E57BBB" w14:paraId="742A2173" w14:textId="77777777" w:rsidTr="00C14AF6">
        <w:trPr>
          <w:trHeight w:val="918"/>
        </w:trPr>
        <w:tc>
          <w:tcPr>
            <w:tcW w:w="3866" w:type="dxa"/>
          </w:tcPr>
          <w:p w14:paraId="478EDA8E" w14:textId="74C1A176"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t xml:space="preserve">Articolul 279a </w:t>
            </w:r>
            <w:r w:rsidRPr="00A96E09">
              <w:rPr>
                <w:rFonts w:ascii="Times New Roman" w:hAnsi="Times New Roman"/>
                <w:b/>
                <w:bCs/>
                <w:color w:val="000000"/>
                <w:sz w:val="18"/>
                <w:szCs w:val="18"/>
              </w:rPr>
              <w:t>Delta reglementat</w:t>
            </w:r>
          </w:p>
          <w:p w14:paraId="4E634C8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Instituţiile calculează delta reglementat după cum urmează: </w:t>
            </w:r>
          </w:p>
          <w:p w14:paraId="527BDA2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 în cazul opţiunilor call și put care îi dau dreptul cumpărătorului opţiunii să cumpere sau să vândă un instrument-suport la un preţ pozitiv la o dată unică sau la multiple date din viitor, cu excepţia cazului în care aceste opţiuni sunt încadrate în categoria de risc de rată a dobânzii, instituţiile utilizează următoarea formulă: </w:t>
            </w:r>
          </w:p>
          <w:p w14:paraId="746D7883"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65681046" wp14:editId="64453B1F">
                  <wp:extent cx="2265374" cy="345057"/>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0240" cy="353414"/>
                          </a:xfrm>
                          <a:prstGeom prst="rect">
                            <a:avLst/>
                          </a:prstGeom>
                          <a:noFill/>
                        </pic:spPr>
                      </pic:pic>
                    </a:graphicData>
                  </a:graphic>
                </wp:inline>
              </w:drawing>
            </w:r>
          </w:p>
          <w:p w14:paraId="26B5321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104EDFB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δ = delta reglementat </w:t>
            </w:r>
          </w:p>
          <w:p w14:paraId="3CEA318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semn (sign) = – 1 dacă tranzacţia este o opţiune call vândută sau o opţiune put </w:t>
            </w:r>
            <w:proofErr w:type="gramStart"/>
            <w:r w:rsidRPr="00A96E09">
              <w:rPr>
                <w:rFonts w:ascii="Times New Roman" w:hAnsi="Times New Roman"/>
                <w:color w:val="000000"/>
                <w:sz w:val="18"/>
                <w:szCs w:val="18"/>
              </w:rPr>
              <w:t>cumpărată;</w:t>
            </w:r>
            <w:proofErr w:type="gramEnd"/>
            <w:r w:rsidRPr="00A96E09">
              <w:rPr>
                <w:rFonts w:ascii="Times New Roman" w:hAnsi="Times New Roman"/>
                <w:color w:val="000000"/>
                <w:sz w:val="18"/>
                <w:szCs w:val="18"/>
              </w:rPr>
              <w:t xml:space="preserve"> </w:t>
            </w:r>
          </w:p>
          <w:p w14:paraId="7F7AAFA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semn (sign) = + 1 dacă tranzacţia este o opţiune call cumpărată sau o opţiune put </w:t>
            </w:r>
            <w:proofErr w:type="gramStart"/>
            <w:r w:rsidRPr="00A96E09">
              <w:rPr>
                <w:rFonts w:ascii="Times New Roman" w:hAnsi="Times New Roman"/>
                <w:color w:val="000000"/>
                <w:sz w:val="18"/>
                <w:szCs w:val="18"/>
              </w:rPr>
              <w:t>vândută;</w:t>
            </w:r>
            <w:proofErr w:type="gramEnd"/>
            <w:r w:rsidRPr="00A96E09">
              <w:rPr>
                <w:rFonts w:ascii="Times New Roman" w:hAnsi="Times New Roman"/>
                <w:color w:val="000000"/>
                <w:sz w:val="18"/>
                <w:szCs w:val="18"/>
              </w:rPr>
              <w:t xml:space="preserve"> </w:t>
            </w:r>
          </w:p>
          <w:p w14:paraId="20B2836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tip (type) = – 1 dacă tranzacţia este o opţiune </w:t>
            </w:r>
            <w:proofErr w:type="gramStart"/>
            <w:r w:rsidRPr="00A96E09">
              <w:rPr>
                <w:rFonts w:ascii="Times New Roman" w:hAnsi="Times New Roman"/>
                <w:color w:val="000000"/>
                <w:sz w:val="18"/>
                <w:szCs w:val="18"/>
              </w:rPr>
              <w:t>put;</w:t>
            </w:r>
            <w:proofErr w:type="gramEnd"/>
            <w:r w:rsidRPr="00A96E09">
              <w:rPr>
                <w:rFonts w:ascii="Times New Roman" w:hAnsi="Times New Roman"/>
                <w:color w:val="000000"/>
                <w:sz w:val="18"/>
                <w:szCs w:val="18"/>
              </w:rPr>
              <w:t xml:space="preserve"> </w:t>
            </w:r>
          </w:p>
          <w:p w14:paraId="7B689E9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tip (type) = + 1 dacă tranzacţia este o opţiune </w:t>
            </w:r>
            <w:proofErr w:type="gramStart"/>
            <w:r w:rsidRPr="00A96E09">
              <w:rPr>
                <w:rFonts w:ascii="Times New Roman" w:hAnsi="Times New Roman"/>
                <w:color w:val="000000"/>
                <w:sz w:val="18"/>
                <w:szCs w:val="18"/>
              </w:rPr>
              <w:t>call;</w:t>
            </w:r>
            <w:proofErr w:type="gramEnd"/>
            <w:r w:rsidRPr="00A96E09">
              <w:rPr>
                <w:rFonts w:ascii="Times New Roman" w:hAnsi="Times New Roman"/>
                <w:color w:val="000000"/>
                <w:sz w:val="18"/>
                <w:szCs w:val="18"/>
              </w:rPr>
              <w:t xml:space="preserve"> </w:t>
            </w:r>
          </w:p>
          <w:p w14:paraId="77984D2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N(x) = funcţia de distribuţie cumulativă pentru o variabilă aleatorie normală standard, care exprimă probabilitatea ca o variabilă aleatorie normal distribuită, cu media zero și varianţa 1, să fie mai mică sau egală cu </w:t>
            </w:r>
            <w:proofErr w:type="gramStart"/>
            <w:r w:rsidRPr="00A96E09">
              <w:rPr>
                <w:rFonts w:ascii="Times New Roman" w:hAnsi="Times New Roman"/>
                <w:color w:val="000000"/>
                <w:sz w:val="18"/>
                <w:szCs w:val="18"/>
              </w:rPr>
              <w:t>x;</w:t>
            </w:r>
            <w:proofErr w:type="gramEnd"/>
            <w:r w:rsidRPr="00A96E09">
              <w:rPr>
                <w:rFonts w:ascii="Times New Roman" w:hAnsi="Times New Roman"/>
                <w:color w:val="000000"/>
                <w:sz w:val="18"/>
                <w:szCs w:val="18"/>
              </w:rPr>
              <w:t xml:space="preserve"> </w:t>
            </w:r>
          </w:p>
          <w:p w14:paraId="28D4FD2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P = preţul la vedere sau la termen al instrumentului- suport al opţiunii; pentru opţiuni ale căror fluxuri de numerar depind de o valoare medie a preţului instrumentului-suport, P este egal cu valoarea medie la data </w:t>
            </w:r>
            <w:proofErr w:type="gramStart"/>
            <w:r w:rsidRPr="00A96E09">
              <w:rPr>
                <w:rFonts w:ascii="Times New Roman" w:hAnsi="Times New Roman"/>
                <w:color w:val="000000"/>
                <w:sz w:val="18"/>
                <w:szCs w:val="18"/>
              </w:rPr>
              <w:t>calculului;</w:t>
            </w:r>
            <w:proofErr w:type="gramEnd"/>
            <w:r w:rsidRPr="00A96E09">
              <w:rPr>
                <w:rFonts w:ascii="Times New Roman" w:hAnsi="Times New Roman"/>
                <w:color w:val="000000"/>
                <w:sz w:val="18"/>
                <w:szCs w:val="18"/>
              </w:rPr>
              <w:t xml:space="preserve"> </w:t>
            </w:r>
          </w:p>
          <w:p w14:paraId="0DFFAFB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K = preţul de exercitare a </w:t>
            </w:r>
            <w:proofErr w:type="gramStart"/>
            <w:r w:rsidRPr="00A96E09">
              <w:rPr>
                <w:rFonts w:ascii="Times New Roman" w:hAnsi="Times New Roman"/>
                <w:color w:val="000000"/>
                <w:sz w:val="18"/>
                <w:szCs w:val="18"/>
              </w:rPr>
              <w:t>opţiunii;</w:t>
            </w:r>
            <w:proofErr w:type="gramEnd"/>
            <w:r w:rsidRPr="00A96E09">
              <w:rPr>
                <w:rFonts w:ascii="Times New Roman" w:hAnsi="Times New Roman"/>
                <w:color w:val="000000"/>
                <w:sz w:val="18"/>
                <w:szCs w:val="18"/>
              </w:rPr>
              <w:t xml:space="preserve"> </w:t>
            </w:r>
          </w:p>
          <w:p w14:paraId="2505837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T = perioada cuprinsă între data expirării opţiunii (T </w:t>
            </w:r>
            <w:proofErr w:type="gramStart"/>
            <w:r w:rsidRPr="00A96E09">
              <w:rPr>
                <w:rFonts w:ascii="Times New Roman" w:hAnsi="Times New Roman"/>
                <w:color w:val="000000"/>
                <w:sz w:val="18"/>
                <w:szCs w:val="18"/>
              </w:rPr>
              <w:t>exp )</w:t>
            </w:r>
            <w:proofErr w:type="gramEnd"/>
            <w:r w:rsidRPr="00A96E09">
              <w:rPr>
                <w:rFonts w:ascii="Times New Roman" w:hAnsi="Times New Roman"/>
                <w:color w:val="000000"/>
                <w:sz w:val="18"/>
                <w:szCs w:val="18"/>
              </w:rPr>
              <w:t xml:space="preserve"> și data raportării; pentru opţiuni care pot fi exercitate numai la o dată viitoare, T exp este egală cu data respectivă; pentru opţiuni care pot fi exercitate la multiple date viitoare, T exp este egală cu ultima dintre datele respective; T se exprimă în ani, utilizând convenţia privind zilele lucrătoare relevantă; și </w:t>
            </w:r>
          </w:p>
          <w:p w14:paraId="5F91EAC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σ = volatilitatea reglementată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opţiunii, determinată în conformitate cu tabelul 1 în funcţie de categoria de risc a tranzacţiei și de natura instrumentului-suport al opţiunii. </w:t>
            </w:r>
          </w:p>
          <w:p w14:paraId="7BE815F3" w14:textId="77777777"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i/>
                <w:iCs/>
                <w:color w:val="000000"/>
                <w:sz w:val="18"/>
                <w:szCs w:val="18"/>
              </w:rPr>
              <w:t>Tabelul 1</w:t>
            </w:r>
          </w:p>
          <w:tbl>
            <w:tblPr>
              <w:tblW w:w="423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893"/>
              <w:gridCol w:w="2625"/>
              <w:gridCol w:w="714"/>
            </w:tblGrid>
            <w:tr w:rsidR="001A4DE8" w:rsidRPr="00A96E09" w14:paraId="44D3E9EB" w14:textId="77777777" w:rsidTr="00B11411">
              <w:trPr>
                <w:trHeight w:val="372"/>
              </w:trPr>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119F06B0"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Categorie de risc</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1CD047B6"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Instrumentul-suport</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7D5BC650"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Volatilitatea reglementată</w:t>
                  </w:r>
                </w:p>
              </w:tc>
            </w:tr>
            <w:tr w:rsidR="001A4DE8" w:rsidRPr="00A96E09" w14:paraId="0B7CE8DA" w14:textId="77777777" w:rsidTr="00B11411">
              <w:trPr>
                <w:trHeight w:val="383"/>
              </w:trPr>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10C1A3C8"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Schimb valutar</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FB4E71A"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Toate</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0A12BA2C"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15 %</w:t>
                  </w:r>
                </w:p>
              </w:tc>
            </w:tr>
            <w:tr w:rsidR="001A4DE8" w:rsidRPr="00A96E09" w14:paraId="279F761F" w14:textId="77777777" w:rsidTr="00B11411">
              <w:trPr>
                <w:trHeight w:val="395"/>
              </w:trPr>
              <w:tc>
                <w:tcPr>
                  <w:tcW w:w="8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51FDB5E1"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Credit</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0D376BE8"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Instrument având la bază o singură semnătură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22335DBA"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100 %</w:t>
                  </w:r>
                </w:p>
              </w:tc>
            </w:tr>
            <w:tr w:rsidR="001A4DE8" w:rsidRPr="00A96E09" w14:paraId="419C0CE8" w14:textId="77777777" w:rsidTr="00B11411">
              <w:trPr>
                <w:trHeight w:val="123"/>
              </w:trPr>
              <w:tc>
                <w:tcPr>
                  <w:tcW w:w="8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835D07" w14:textId="77777777" w:rsidR="001A4DE8" w:rsidRPr="00A96E09" w:rsidRDefault="001A4DE8" w:rsidP="00EB7E01">
                  <w:pPr>
                    <w:framePr w:hSpace="180" w:wrap="around" w:vAnchor="text" w:hAnchor="text" w:y="1"/>
                    <w:suppressOverlap/>
                    <w:jc w:val="both"/>
                    <w:rPr>
                      <w:color w:val="333333"/>
                      <w:sz w:val="18"/>
                      <w:szCs w:val="18"/>
                      <w:lang w:eastAsia="ro-MD"/>
                    </w:rPr>
                  </w:pP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994A03F"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Instrument având la bază mai multe semnături</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05D46E67"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80 %</w:t>
                  </w:r>
                </w:p>
              </w:tc>
            </w:tr>
            <w:tr w:rsidR="001A4DE8" w:rsidRPr="00A96E09" w14:paraId="6162299D" w14:textId="77777777" w:rsidTr="00B11411">
              <w:trPr>
                <w:trHeight w:val="407"/>
              </w:trPr>
              <w:tc>
                <w:tcPr>
                  <w:tcW w:w="8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AA7EF8F"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Titluri de capital</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379DFB2B"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Instrument având la bază o singură semnătură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42B97FA1"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120 %</w:t>
                  </w:r>
                </w:p>
              </w:tc>
            </w:tr>
            <w:tr w:rsidR="001A4DE8" w:rsidRPr="00A96E09" w14:paraId="0EC504CB" w14:textId="77777777" w:rsidTr="00B11411">
              <w:trPr>
                <w:trHeight w:val="123"/>
              </w:trPr>
              <w:tc>
                <w:tcPr>
                  <w:tcW w:w="8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DE35BFB" w14:textId="77777777" w:rsidR="001A4DE8" w:rsidRPr="00A96E09" w:rsidRDefault="001A4DE8" w:rsidP="00EB7E01">
                  <w:pPr>
                    <w:framePr w:hSpace="180" w:wrap="around" w:vAnchor="text" w:hAnchor="text" w:y="1"/>
                    <w:suppressOverlap/>
                    <w:jc w:val="both"/>
                    <w:rPr>
                      <w:color w:val="333333"/>
                      <w:sz w:val="18"/>
                      <w:szCs w:val="18"/>
                      <w:lang w:eastAsia="ro-MD"/>
                    </w:rPr>
                  </w:pP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64C6DE5"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Instrument având la bază mai multe semnături</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1D20CF7F"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75 %</w:t>
                  </w:r>
                </w:p>
              </w:tc>
            </w:tr>
            <w:tr w:rsidR="001A4DE8" w:rsidRPr="00A96E09" w14:paraId="6F354D18" w14:textId="77777777" w:rsidTr="00B11411">
              <w:trPr>
                <w:trHeight w:val="395"/>
              </w:trPr>
              <w:tc>
                <w:tcPr>
                  <w:tcW w:w="893"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3755A86D"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Marfă</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6C2B3EC7"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Energie electrică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521448AF" w14:textId="77777777" w:rsidR="001A4DE8" w:rsidRPr="00A96E09" w:rsidRDefault="001A4DE8" w:rsidP="00EB7E01">
                  <w:pPr>
                    <w:framePr w:hSpace="180" w:wrap="around" w:vAnchor="text" w:hAnchor="text" w:y="1"/>
                    <w:spacing w:before="60" w:after="60"/>
                    <w:suppressOverlap/>
                    <w:jc w:val="both"/>
                    <w:rPr>
                      <w:color w:val="333333"/>
                      <w:sz w:val="18"/>
                      <w:szCs w:val="18"/>
                      <w:lang w:eastAsia="ro-MD"/>
                    </w:rPr>
                  </w:pPr>
                  <w:r w:rsidRPr="00A96E09">
                    <w:rPr>
                      <w:color w:val="333333"/>
                      <w:sz w:val="18"/>
                      <w:szCs w:val="18"/>
                      <w:lang w:eastAsia="ro-MD"/>
                    </w:rPr>
                    <w:t>150 %</w:t>
                  </w:r>
                </w:p>
              </w:tc>
            </w:tr>
            <w:tr w:rsidR="001A4DE8" w:rsidRPr="00EB7E01" w14:paraId="60C7B4F9" w14:textId="77777777" w:rsidTr="00B11411">
              <w:trPr>
                <w:trHeight w:val="123"/>
              </w:trPr>
              <w:tc>
                <w:tcPr>
                  <w:tcW w:w="89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DB84A8" w14:textId="77777777" w:rsidR="001A4DE8" w:rsidRPr="00A96E09" w:rsidRDefault="001A4DE8" w:rsidP="00EB7E01">
                  <w:pPr>
                    <w:framePr w:hSpace="180" w:wrap="around" w:vAnchor="text" w:hAnchor="text" w:y="1"/>
                    <w:suppressOverlap/>
                    <w:jc w:val="both"/>
                    <w:rPr>
                      <w:color w:val="333333"/>
                      <w:sz w:val="18"/>
                      <w:szCs w:val="18"/>
                      <w:lang w:eastAsia="ro-MD"/>
                    </w:rPr>
                  </w:pP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027D1373"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Alte mărfuri (mai puțin energia electrică)</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135FE458"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70 %</w:t>
                  </w:r>
                </w:p>
              </w:tc>
            </w:tr>
            <w:tr w:rsidR="001A4DE8" w:rsidRPr="00EB7E01" w14:paraId="6F385BD7" w14:textId="77777777" w:rsidTr="00B11411">
              <w:trPr>
                <w:trHeight w:val="372"/>
              </w:trPr>
              <w:tc>
                <w:tcPr>
                  <w:tcW w:w="893" w:type="dxa"/>
                  <w:tcBorders>
                    <w:top w:val="outset" w:sz="6" w:space="0" w:color="auto"/>
                    <w:left w:val="outset" w:sz="6" w:space="0" w:color="auto"/>
                    <w:bottom w:val="outset" w:sz="6" w:space="0" w:color="auto"/>
                    <w:right w:val="outset" w:sz="6" w:space="0" w:color="auto"/>
                  </w:tcBorders>
                  <w:shd w:val="clear" w:color="auto" w:fill="FFFFFF"/>
                  <w:hideMark/>
                </w:tcPr>
                <w:p w14:paraId="68769D5B"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Altele</w:t>
                  </w:r>
                </w:p>
              </w:tc>
              <w:tc>
                <w:tcPr>
                  <w:tcW w:w="2625" w:type="dxa"/>
                  <w:tcBorders>
                    <w:top w:val="outset" w:sz="6" w:space="0" w:color="auto"/>
                    <w:left w:val="outset" w:sz="6" w:space="0" w:color="auto"/>
                    <w:bottom w:val="outset" w:sz="6" w:space="0" w:color="auto"/>
                    <w:right w:val="outset" w:sz="6" w:space="0" w:color="auto"/>
                  </w:tcBorders>
                  <w:shd w:val="clear" w:color="auto" w:fill="FFFFFF"/>
                  <w:hideMark/>
                </w:tcPr>
                <w:p w14:paraId="297F914A"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Toate</w:t>
                  </w:r>
                </w:p>
              </w:tc>
              <w:tc>
                <w:tcPr>
                  <w:tcW w:w="714" w:type="dxa"/>
                  <w:tcBorders>
                    <w:top w:val="outset" w:sz="6" w:space="0" w:color="auto"/>
                    <w:left w:val="outset" w:sz="6" w:space="0" w:color="auto"/>
                    <w:bottom w:val="outset" w:sz="6" w:space="0" w:color="auto"/>
                    <w:right w:val="outset" w:sz="6" w:space="0" w:color="auto"/>
                  </w:tcBorders>
                  <w:shd w:val="clear" w:color="auto" w:fill="FFFFFF"/>
                  <w:hideMark/>
                </w:tcPr>
                <w:p w14:paraId="1DF58692" w14:textId="77777777" w:rsidR="001A4DE8" w:rsidRPr="00A96E09" w:rsidRDefault="001A4DE8" w:rsidP="00EB7E01">
                  <w:pPr>
                    <w:framePr w:hSpace="180" w:wrap="around" w:vAnchor="text" w:hAnchor="text" w:y="1"/>
                    <w:spacing w:before="60" w:after="60"/>
                    <w:suppressOverlap/>
                    <w:jc w:val="both"/>
                    <w:rPr>
                      <w:color w:val="333333"/>
                      <w:sz w:val="18"/>
                      <w:szCs w:val="18"/>
                      <w:lang w:val="en-US" w:eastAsia="ro-MD"/>
                    </w:rPr>
                  </w:pPr>
                  <w:r w:rsidRPr="00A96E09">
                    <w:rPr>
                      <w:color w:val="333333"/>
                      <w:sz w:val="18"/>
                      <w:szCs w:val="18"/>
                      <w:lang w:val="en-US" w:eastAsia="ro-MD"/>
                    </w:rPr>
                    <w:t>150 %</w:t>
                  </w:r>
                </w:p>
              </w:tc>
            </w:tr>
          </w:tbl>
          <w:p w14:paraId="602827E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Instituţiile care utilizează preţul la termen al instrumentului-suport al unei opţiuni se asigură că: </w:t>
            </w:r>
          </w:p>
          <w:p w14:paraId="7F90098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preţul la termen este în concordanţă cu caracteristicile </w:t>
            </w:r>
            <w:proofErr w:type="gramStart"/>
            <w:r w:rsidRPr="00A96E09">
              <w:rPr>
                <w:rFonts w:ascii="Times New Roman" w:hAnsi="Times New Roman"/>
                <w:color w:val="000000"/>
                <w:sz w:val="18"/>
                <w:szCs w:val="18"/>
              </w:rPr>
              <w:t>opţiunii;</w:t>
            </w:r>
            <w:proofErr w:type="gramEnd"/>
            <w:r w:rsidRPr="00A96E09">
              <w:rPr>
                <w:rFonts w:ascii="Times New Roman" w:hAnsi="Times New Roman"/>
                <w:color w:val="000000"/>
                <w:sz w:val="18"/>
                <w:szCs w:val="18"/>
              </w:rPr>
              <w:t xml:space="preserve"> </w:t>
            </w:r>
          </w:p>
          <w:p w14:paraId="53CB8CB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preţul la termen se calculează utilizând o rată a dobânzii relevantă care predomină la data </w:t>
            </w:r>
            <w:proofErr w:type="gramStart"/>
            <w:r w:rsidRPr="00A96E09">
              <w:rPr>
                <w:rFonts w:ascii="Times New Roman" w:hAnsi="Times New Roman"/>
                <w:color w:val="000000"/>
                <w:sz w:val="18"/>
                <w:szCs w:val="18"/>
              </w:rPr>
              <w:t>raportării;</w:t>
            </w:r>
            <w:proofErr w:type="gramEnd"/>
            <w:r w:rsidRPr="00A96E09">
              <w:rPr>
                <w:rFonts w:ascii="Times New Roman" w:hAnsi="Times New Roman"/>
                <w:color w:val="000000"/>
                <w:sz w:val="18"/>
                <w:szCs w:val="18"/>
              </w:rPr>
              <w:t xml:space="preserve"> </w:t>
            </w:r>
          </w:p>
          <w:p w14:paraId="42E2135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(iii) preţul la termen integrează fluxurile de numerar preconizate ale instrumentului-suport înainte de expirarea </w:t>
            </w:r>
            <w:proofErr w:type="gramStart"/>
            <w:r w:rsidRPr="00A96E09">
              <w:rPr>
                <w:rFonts w:ascii="Times New Roman" w:hAnsi="Times New Roman"/>
                <w:color w:val="000000"/>
                <w:sz w:val="18"/>
                <w:szCs w:val="18"/>
              </w:rPr>
              <w:t>opţiunii;</w:t>
            </w:r>
            <w:proofErr w:type="gramEnd"/>
            <w:r w:rsidRPr="00A96E09">
              <w:rPr>
                <w:rFonts w:ascii="Times New Roman" w:hAnsi="Times New Roman"/>
                <w:color w:val="000000"/>
                <w:sz w:val="18"/>
                <w:szCs w:val="18"/>
              </w:rPr>
              <w:t xml:space="preserve"> </w:t>
            </w:r>
          </w:p>
          <w:p w14:paraId="760C8F5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pentru tranșele unei securitizări sintetice și pentru un instrument financiar derivat de credit de tip „n th -to-default” (al n-lea caz de nerambursare), instituţiile utilizează următoarea formulă: </w:t>
            </w:r>
          </w:p>
          <w:p w14:paraId="5AE34F1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4EFA1177" wp14:editId="6A7CF013">
                  <wp:extent cx="1639019" cy="341262"/>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64398" cy="346546"/>
                          </a:xfrm>
                          <a:prstGeom prst="rect">
                            <a:avLst/>
                          </a:prstGeom>
                          <a:noFill/>
                        </pic:spPr>
                      </pic:pic>
                    </a:graphicData>
                  </a:graphic>
                </wp:inline>
              </w:drawing>
            </w:r>
          </w:p>
          <w:p w14:paraId="5D5F4EB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tbl>
            <w:tblPr>
              <w:tblStyle w:val="TableGrid"/>
              <w:tblW w:w="7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9"/>
              <w:gridCol w:w="470"/>
              <w:gridCol w:w="3085"/>
              <w:gridCol w:w="3085"/>
            </w:tblGrid>
            <w:tr w:rsidR="004138FD" w:rsidRPr="00EB7E01" w14:paraId="4C760AE1" w14:textId="76067AB2" w:rsidTr="004138FD">
              <w:trPr>
                <w:trHeight w:val="440"/>
              </w:trPr>
              <w:tc>
                <w:tcPr>
                  <w:tcW w:w="719" w:type="dxa"/>
                  <w:vMerge w:val="restart"/>
                </w:tcPr>
                <w:p w14:paraId="2C5BEFB7"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semn (sign) =</w:t>
                  </w:r>
                </w:p>
              </w:tc>
              <w:tc>
                <w:tcPr>
                  <w:tcW w:w="470" w:type="dxa"/>
                  <w:vMerge w:val="restart"/>
                </w:tcPr>
                <w:p w14:paraId="5E081785"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w:t>
                  </w:r>
                </w:p>
              </w:tc>
              <w:tc>
                <w:tcPr>
                  <w:tcW w:w="3085" w:type="dxa"/>
                </w:tcPr>
                <w:p w14:paraId="777B3390"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+ 1 dacă prin tranzacţie s-</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obţinut protecţia creditului</w:t>
                  </w:r>
                </w:p>
              </w:tc>
              <w:tc>
                <w:tcPr>
                  <w:tcW w:w="3085" w:type="dxa"/>
                </w:tcPr>
                <w:p w14:paraId="719DE2EB"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p>
              </w:tc>
            </w:tr>
            <w:tr w:rsidR="004138FD" w:rsidRPr="00EB7E01" w14:paraId="68246DBF" w14:textId="511743A3" w:rsidTr="004138FD">
              <w:trPr>
                <w:trHeight w:val="105"/>
              </w:trPr>
              <w:tc>
                <w:tcPr>
                  <w:tcW w:w="719" w:type="dxa"/>
                  <w:vMerge/>
                </w:tcPr>
                <w:p w14:paraId="678C4568"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470" w:type="dxa"/>
                  <w:vMerge/>
                </w:tcPr>
                <w:p w14:paraId="0B4FA7A9"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3085" w:type="dxa"/>
                </w:tcPr>
                <w:p w14:paraId="09DFC20F"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 1 dacă prin tranzacţie s-a furnizat protecţia creditului</w:t>
                  </w:r>
                </w:p>
              </w:tc>
              <w:tc>
                <w:tcPr>
                  <w:tcW w:w="3085" w:type="dxa"/>
                </w:tcPr>
                <w:p w14:paraId="048A9E35" w14:textId="77777777" w:rsidR="004138FD" w:rsidRPr="00A96E09" w:rsidRDefault="004138FD" w:rsidP="00EB7E01">
                  <w:pPr>
                    <w:pStyle w:val="CM4"/>
                    <w:framePr w:hSpace="180" w:wrap="around" w:vAnchor="text" w:hAnchor="text" w:y="1"/>
                    <w:spacing w:before="60" w:after="60"/>
                    <w:suppressOverlap/>
                    <w:jc w:val="both"/>
                    <w:rPr>
                      <w:rFonts w:ascii="Times New Roman" w:hAnsi="Times New Roman"/>
                      <w:color w:val="000000"/>
                      <w:sz w:val="18"/>
                      <w:szCs w:val="18"/>
                    </w:rPr>
                  </w:pPr>
                </w:p>
              </w:tc>
            </w:tr>
          </w:tbl>
          <w:p w14:paraId="58933059" w14:textId="77777777" w:rsidR="001A4DE8" w:rsidRPr="00A96E09" w:rsidRDefault="001A4DE8" w:rsidP="003456B0">
            <w:pPr>
              <w:pStyle w:val="CM4"/>
              <w:spacing w:before="60" w:after="60"/>
              <w:jc w:val="both"/>
              <w:rPr>
                <w:rFonts w:ascii="Times New Roman" w:hAnsi="Times New Roman"/>
                <w:color w:val="000000"/>
                <w:sz w:val="18"/>
                <w:szCs w:val="18"/>
              </w:rPr>
            </w:pPr>
          </w:p>
          <w:p w14:paraId="21B298C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 = plafonul de afectare al tranșei; pentru o tranzacţie cu un instrument financiar derivat de credit de tip „n</w:t>
            </w:r>
            <w:r w:rsidRPr="00A96E09">
              <w:rPr>
                <w:rFonts w:ascii="Times New Roman" w:hAnsi="Times New Roman"/>
                <w:color w:val="000000"/>
                <w:sz w:val="18"/>
                <w:szCs w:val="18"/>
                <w:vertAlign w:val="superscript"/>
              </w:rPr>
              <w:t xml:space="preserve">th </w:t>
            </w:r>
            <w:r w:rsidRPr="00A96E09">
              <w:rPr>
                <w:rFonts w:ascii="Times New Roman" w:hAnsi="Times New Roman"/>
                <w:color w:val="000000"/>
                <w:sz w:val="18"/>
                <w:szCs w:val="18"/>
              </w:rPr>
              <w:t xml:space="preserve">-to-default” bazat pe entităţile de referinţă k, A = (n – 1)/k; și </w:t>
            </w:r>
          </w:p>
          <w:p w14:paraId="5B9AF67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D = plafonul de neafectare al tranșei; pentru o tranzacţie cu un instrument financiar derivat de credit de tip „n</w:t>
            </w:r>
            <w:r w:rsidRPr="00A96E09">
              <w:rPr>
                <w:rFonts w:ascii="Times New Roman" w:hAnsi="Times New Roman"/>
                <w:color w:val="000000"/>
                <w:sz w:val="18"/>
                <w:szCs w:val="18"/>
                <w:vertAlign w:val="superscript"/>
              </w:rPr>
              <w:t>th</w:t>
            </w:r>
            <w:r w:rsidRPr="00A96E09">
              <w:rPr>
                <w:rFonts w:ascii="Times New Roman" w:hAnsi="Times New Roman"/>
                <w:color w:val="000000"/>
                <w:sz w:val="18"/>
                <w:szCs w:val="18"/>
              </w:rPr>
              <w:t xml:space="preserve"> -to-default” bazat pe entităţile de referinţă k, D = n/</w:t>
            </w:r>
            <w:proofErr w:type="gramStart"/>
            <w:r w:rsidRPr="00A96E09">
              <w:rPr>
                <w:rFonts w:ascii="Times New Roman" w:hAnsi="Times New Roman"/>
                <w:color w:val="000000"/>
                <w:sz w:val="18"/>
                <w:szCs w:val="18"/>
              </w:rPr>
              <w:t>k;</w:t>
            </w:r>
            <w:proofErr w:type="gramEnd"/>
            <w:r w:rsidRPr="00A96E09">
              <w:rPr>
                <w:rFonts w:ascii="Times New Roman" w:hAnsi="Times New Roman"/>
                <w:color w:val="000000"/>
                <w:sz w:val="18"/>
                <w:szCs w:val="18"/>
              </w:rPr>
              <w:t xml:space="preserve"> </w:t>
            </w:r>
          </w:p>
          <w:p w14:paraId="62EDD83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(c) pentru tranzacţiile care nu sunt menţionate la litera (a) sau (b), instituţiile utilizează următorul delta reglementat: </w:t>
            </w:r>
          </w:p>
          <w:p w14:paraId="598DB862" w14:textId="77777777" w:rsidR="001A4DE8" w:rsidRPr="00A96E09" w:rsidRDefault="001A4DE8" w:rsidP="003456B0">
            <w:pPr>
              <w:jc w:val="both"/>
              <w:rPr>
                <w:sz w:val="18"/>
                <w:szCs w:val="18"/>
                <w:lang w:val="en-US"/>
              </w:rPr>
            </w:pPr>
          </w:p>
          <w:tbl>
            <w:tblPr>
              <w:tblStyle w:val="TableGrid"/>
              <w:tblW w:w="4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3"/>
              <w:gridCol w:w="266"/>
              <w:gridCol w:w="3813"/>
            </w:tblGrid>
            <w:tr w:rsidR="001A4DE8" w:rsidRPr="00EB7E01" w14:paraId="6DE5C21C" w14:textId="77777777" w:rsidTr="00B11411">
              <w:trPr>
                <w:trHeight w:val="488"/>
              </w:trPr>
              <w:tc>
                <w:tcPr>
                  <w:tcW w:w="333" w:type="dxa"/>
                  <w:vMerge w:val="restart"/>
                </w:tcPr>
                <w:p w14:paraId="2CE77D17"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p>
                <w:p w14:paraId="47B6AE00"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r w:rsidRPr="00A96E09">
                    <w:rPr>
                      <w:rFonts w:ascii="Times New Roman" w:hAnsi="Times New Roman"/>
                      <w:color w:val="000000"/>
                      <w:sz w:val="18"/>
                      <w:szCs w:val="18"/>
                    </w:rPr>
                    <w:t>δ =</w:t>
                  </w:r>
                </w:p>
              </w:tc>
              <w:tc>
                <w:tcPr>
                  <w:tcW w:w="266" w:type="dxa"/>
                  <w:vMerge w:val="restart"/>
                </w:tcPr>
                <w:p w14:paraId="463E1D40"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r w:rsidRPr="00A96E09">
                    <w:rPr>
                      <w:rFonts w:ascii="Times New Roman" w:hAnsi="Times New Roman"/>
                      <w:color w:val="000000"/>
                      <w:sz w:val="18"/>
                      <w:szCs w:val="18"/>
                    </w:rPr>
                    <w:t>{</w:t>
                  </w:r>
                </w:p>
              </w:tc>
              <w:tc>
                <w:tcPr>
                  <w:tcW w:w="3813" w:type="dxa"/>
                </w:tcPr>
                <w:p w14:paraId="57F505A0"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r w:rsidRPr="00A96E09">
                    <w:rPr>
                      <w:rFonts w:ascii="Times New Roman" w:hAnsi="Times New Roman"/>
                      <w:color w:val="000000"/>
                      <w:sz w:val="18"/>
                      <w:szCs w:val="18"/>
                    </w:rPr>
                    <w:t>+ 1 dacă tranzacţia este o poziţie lungă pe determinantul de risc principal sau cel mai semnificativ determinant de risc în acea categorie de risc</w:t>
                  </w:r>
                </w:p>
              </w:tc>
            </w:tr>
            <w:tr w:rsidR="001A4DE8" w:rsidRPr="00EB7E01" w14:paraId="013D09C9" w14:textId="77777777" w:rsidTr="00B11411">
              <w:trPr>
                <w:trHeight w:val="85"/>
              </w:trPr>
              <w:tc>
                <w:tcPr>
                  <w:tcW w:w="333" w:type="dxa"/>
                  <w:vMerge/>
                </w:tcPr>
                <w:p w14:paraId="22549719"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p>
              </w:tc>
              <w:tc>
                <w:tcPr>
                  <w:tcW w:w="266" w:type="dxa"/>
                  <w:vMerge/>
                </w:tcPr>
                <w:p w14:paraId="2235555A"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p>
              </w:tc>
              <w:tc>
                <w:tcPr>
                  <w:tcW w:w="3813" w:type="dxa"/>
                </w:tcPr>
                <w:p w14:paraId="73182B2B" w14:textId="77777777" w:rsidR="001A4DE8" w:rsidRPr="00A96E09" w:rsidRDefault="001A4DE8" w:rsidP="00EB7E01">
                  <w:pPr>
                    <w:pStyle w:val="CM4"/>
                    <w:framePr w:hSpace="180" w:wrap="around" w:vAnchor="text" w:hAnchor="text" w:y="1"/>
                    <w:suppressOverlap/>
                    <w:jc w:val="both"/>
                    <w:rPr>
                      <w:rFonts w:ascii="Times New Roman" w:hAnsi="Times New Roman"/>
                      <w:color w:val="000000"/>
                      <w:sz w:val="18"/>
                      <w:szCs w:val="18"/>
                    </w:rPr>
                  </w:pPr>
                  <w:r w:rsidRPr="00A96E09">
                    <w:rPr>
                      <w:rFonts w:ascii="Times New Roman" w:hAnsi="Times New Roman"/>
                      <w:color w:val="000000"/>
                      <w:sz w:val="18"/>
                      <w:szCs w:val="18"/>
                    </w:rPr>
                    <w:t>– 1 dacă tranzacţia este o poziţie scurtă pe determinantul de risc principal sau cel mai semnificativ determinant de risc în acea categorie de risc</w:t>
                  </w:r>
                </w:p>
              </w:tc>
            </w:tr>
          </w:tbl>
          <w:p w14:paraId="1DAD0C8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În sensul prezentei secţiuni, o poziţie lungă pe determinantul de risc principal sau pe cel mai semnificativ determinant de risc într-o anumită categorie de risc pentru tranzacţiile menţionate la articolul 277 alineatul (3) înseamnă că valoarea de piaţă a tranzacţiei crește atunci când valoarea determinantului de risc respectiv crește, iar o poziţie scurtă pe determinantul de risc principal sau pe cel mai semnificativ determinant de risc într-o anumită categorie de risc pentru tranzacţiile menţionate la articolul 277 alineatul (3) înseamnă că valoarea de piaţă a tranzacţiei scade atunci când valoarea determinantului de risc respectiv crește. </w:t>
            </w:r>
          </w:p>
          <w:p w14:paraId="12C787B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(3) ABE elaborează proiecte de standarde tehnice de reglementare pentru a preciza: </w:t>
            </w:r>
          </w:p>
          <w:p w14:paraId="0BAD6A0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 în conformitate cu evoluţiile internaţionale în materie de reglementare, formula pe care trebuie să o utilizeze instituţiile pentru a calcula delta reglementat pentru opţiunile call și put încadrate în categoria de risc de rată a dobânzii compatibilă cu condiţii de piaţă în care ratele dobânzii pot fi negative, precum și volatilitatea reglementată care este adecvată pentru formula </w:t>
            </w:r>
            <w:proofErr w:type="gramStart"/>
            <w:r w:rsidRPr="00A96E09">
              <w:rPr>
                <w:rFonts w:ascii="Times New Roman" w:hAnsi="Times New Roman"/>
                <w:color w:val="000000"/>
                <w:sz w:val="18"/>
                <w:szCs w:val="18"/>
              </w:rPr>
              <w:t>respectivă;</w:t>
            </w:r>
            <w:proofErr w:type="gramEnd"/>
            <w:r w:rsidRPr="00A96E09">
              <w:rPr>
                <w:rFonts w:ascii="Times New Roman" w:hAnsi="Times New Roman"/>
                <w:color w:val="000000"/>
                <w:sz w:val="18"/>
                <w:szCs w:val="18"/>
              </w:rPr>
              <w:t xml:space="preserve"> </w:t>
            </w:r>
          </w:p>
          <w:p w14:paraId="16CA67A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o metodă pentru a stabili dacă o tranzacţie este o poziţie lungă sau scurtă pe determinantul de risc principal sau pe cel mai semnificativ determinant de risc într-o anumită categorie de risc pentru tranzacţiile menţionate la articolul 277 alineatul (3). </w:t>
            </w:r>
          </w:p>
          <w:p w14:paraId="6DF640B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ABE prezintă Comisiei aceste proiecte de standarde tehnice de reglementare până la 28 decembrie 2019. </w:t>
            </w:r>
          </w:p>
          <w:p w14:paraId="16C08654" w14:textId="1B1DE85E"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color w:val="000000"/>
                <w:sz w:val="18"/>
                <w:szCs w:val="18"/>
              </w:rPr>
              <w:t>Se deleagă Comisiei competenţa de a completa prezentul regulament prin adoptarea standardelor tehnice de reglementare menţionate la primul paragraf în conformitate cu articolele 10-14 din Regulamentul (UE) nr. 1093/2010.</w:t>
            </w:r>
          </w:p>
        </w:tc>
        <w:tc>
          <w:tcPr>
            <w:tcW w:w="4356" w:type="dxa"/>
          </w:tcPr>
          <w:p w14:paraId="5612EDAE" w14:textId="423401FB" w:rsidR="001A4DE8" w:rsidRPr="008070DB" w:rsidRDefault="001A4DE8" w:rsidP="003456B0">
            <w:pPr>
              <w:autoSpaceDE w:val="0"/>
              <w:autoSpaceDN w:val="0"/>
              <w:adjustRightInd w:val="0"/>
              <w:spacing w:before="60" w:after="60"/>
              <w:ind w:firstLine="567"/>
              <w:jc w:val="both"/>
              <w:rPr>
                <w:rFonts w:eastAsiaTheme="minorHAnsi"/>
                <w:i/>
                <w:iCs/>
                <w:color w:val="000000"/>
                <w:sz w:val="18"/>
                <w:szCs w:val="18"/>
                <w:lang w:val="ro-MD" w:eastAsia="en-US"/>
                <w14:ligatures w14:val="standardContextual"/>
              </w:rPr>
            </w:pPr>
            <w:r w:rsidRPr="008070DB">
              <w:rPr>
                <w:rFonts w:eastAsiaTheme="minorHAnsi"/>
                <w:i/>
                <w:iCs/>
                <w:color w:val="000000"/>
                <w:sz w:val="18"/>
                <w:szCs w:val="18"/>
                <w:lang w:val="ro-MD" w:eastAsia="en-US"/>
                <w14:ligatures w14:val="standardContextual"/>
              </w:rPr>
              <w:lastRenderedPageBreak/>
              <w:t xml:space="preserve">Secțiunea a 7-a </w:t>
            </w:r>
          </w:p>
          <w:p w14:paraId="2F3511D1" w14:textId="77777777" w:rsidR="001A4DE8" w:rsidRPr="008070DB" w:rsidRDefault="001A4DE8" w:rsidP="003456B0">
            <w:pPr>
              <w:autoSpaceDE w:val="0"/>
              <w:autoSpaceDN w:val="0"/>
              <w:adjustRightInd w:val="0"/>
              <w:ind w:firstLine="567"/>
              <w:jc w:val="both"/>
              <w:rPr>
                <w:rFonts w:eastAsiaTheme="minorHAnsi"/>
                <w:b/>
                <w:bCs/>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Delta reglementat</w:t>
            </w:r>
          </w:p>
          <w:p w14:paraId="21F93E18" w14:textId="71A7B8DD"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7</w:t>
            </w:r>
            <w:r w:rsidR="0071562E" w:rsidRPr="008070DB">
              <w:rPr>
                <w:rFonts w:eastAsiaTheme="minorHAnsi"/>
                <w:b/>
                <w:bCs/>
                <w:color w:val="000000"/>
                <w:sz w:val="18"/>
                <w:szCs w:val="18"/>
                <w:lang w:val="ro-MD" w:eastAsia="en-US"/>
                <w14:ligatures w14:val="standardContextual"/>
              </w:rPr>
              <w:t>0</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delta reglementat după cum urmează: </w:t>
            </w:r>
          </w:p>
          <w:p w14:paraId="71CFD6EA" w14:textId="383F2457"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71562E" w:rsidRPr="008070DB">
              <w:rPr>
                <w:rFonts w:eastAsiaTheme="minorHAnsi"/>
                <w:color w:val="000000"/>
                <w:sz w:val="18"/>
                <w:szCs w:val="18"/>
                <w:lang w:val="ro-MD" w:eastAsia="en-US"/>
                <w14:ligatures w14:val="standardContextual"/>
              </w:rPr>
              <w:t>0</w:t>
            </w:r>
            <w:r w:rsidR="00B67C56" w:rsidRPr="008070DB">
              <w:rPr>
                <w:rFonts w:eastAsiaTheme="minorHAnsi"/>
                <w:color w:val="000000"/>
                <w:sz w:val="18"/>
                <w:szCs w:val="18"/>
                <w:lang w:val="ro-MD" w:eastAsia="en-US"/>
                <w14:ligatures w14:val="standardContextual"/>
              </w:rPr>
              <w:t xml:space="preserve">.1. </w:t>
            </w:r>
            <w:r w:rsidR="001A4DE8" w:rsidRPr="008070DB">
              <w:rPr>
                <w:rFonts w:eastAsiaTheme="minorHAnsi"/>
                <w:color w:val="000000"/>
                <w:sz w:val="18"/>
                <w:szCs w:val="18"/>
                <w:lang w:val="ro-MD" w:eastAsia="en-US"/>
                <w14:ligatures w14:val="standardContextual"/>
              </w:rPr>
              <w:t xml:space="preserve">în cazul opţiunilor call și put care îi dau dreptul cumpărătorului </w:t>
            </w:r>
            <w:r w:rsidR="000A7685" w:rsidRPr="008070DB">
              <w:rPr>
                <w:rFonts w:eastAsiaTheme="minorHAnsi"/>
                <w:color w:val="000000"/>
                <w:sz w:val="18"/>
                <w:szCs w:val="18"/>
                <w:lang w:val="ro-MD" w:eastAsia="en-US"/>
                <w14:ligatures w14:val="standardContextual"/>
              </w:rPr>
              <w:t xml:space="preserve">opțiunii </w:t>
            </w:r>
            <w:r w:rsidR="001A4DE8" w:rsidRPr="008070DB">
              <w:rPr>
                <w:rFonts w:eastAsiaTheme="minorHAnsi"/>
                <w:color w:val="000000"/>
                <w:sz w:val="18"/>
                <w:szCs w:val="18"/>
                <w:lang w:val="ro-MD" w:eastAsia="en-US"/>
                <w14:ligatures w14:val="standardContextual"/>
              </w:rPr>
              <w:t>să cumpere sau să vândă un instrument-suport la un preţ pozitiv la o dată unică sau la multiple date din viitor, cu excepţia cazului în care aceste opţiuni sunt încadrate în categoria de risc de rată a dobânzii</w:t>
            </w:r>
            <w:r w:rsidR="000A7685" w:rsidRPr="008070DB">
              <w:rPr>
                <w:rFonts w:eastAsiaTheme="minorHAnsi"/>
                <w:color w:val="000000"/>
                <w:sz w:val="18"/>
                <w:szCs w:val="18"/>
                <w:lang w:val="ro-MD" w:eastAsia="en-US"/>
                <w14:ligatures w14:val="standardContextual"/>
              </w:rPr>
              <w:t xml:space="preserve"> sau în categoria de risc de marfă</w:t>
            </w:r>
            <w:r w:rsidR="001A4DE8" w:rsidRPr="008070DB">
              <w:rPr>
                <w:rFonts w:eastAsiaTheme="minorHAnsi"/>
                <w:color w:val="000000"/>
                <w:sz w:val="18"/>
                <w:szCs w:val="18"/>
                <w:lang w:val="ro-MD" w:eastAsia="en-US"/>
                <w14:ligatures w14:val="standardContextual"/>
              </w:rPr>
              <w:t xml:space="preserve">, băncile utilizează următoarea formulă: </w:t>
            </w:r>
          </w:p>
          <w:p w14:paraId="4D74B1B0" w14:textId="77777777" w:rsidR="001A4DE8" w:rsidRPr="008070DB" w:rsidRDefault="001A4DE8" w:rsidP="003456B0">
            <w:pPr>
              <w:pStyle w:val="Default"/>
              <w:ind w:firstLine="567"/>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8A6A360" wp14:editId="2BD6937C">
                  <wp:extent cx="2001078" cy="304800"/>
                  <wp:effectExtent l="0" t="0" r="0" b="0"/>
                  <wp:docPr id="7271607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4618" cy="311432"/>
                          </a:xfrm>
                          <a:prstGeom prst="rect">
                            <a:avLst/>
                          </a:prstGeom>
                          <a:noFill/>
                        </pic:spPr>
                      </pic:pic>
                    </a:graphicData>
                  </a:graphic>
                </wp:inline>
              </w:drawing>
            </w:r>
          </w:p>
          <w:p w14:paraId="10D18F52"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52740339"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δ = delta reglementat </w:t>
            </w:r>
          </w:p>
          <w:p w14:paraId="47AC71A8"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semn (sign) = – 1 dacă tranzacţia este o opţiune call vândută sau o opţiune put cumpărată; </w:t>
            </w:r>
          </w:p>
          <w:p w14:paraId="3D910C9A"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semn (sign) = + 1 dacă tranzacţia este o opţiune call cumpărată sau o opţiune put vândută; </w:t>
            </w:r>
          </w:p>
          <w:p w14:paraId="009D503B"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tip (type) = – 1 dacă tranzacţia este o opţiune put; </w:t>
            </w:r>
          </w:p>
          <w:p w14:paraId="2E1BAA92"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tip (type) = + 1 dacă tranzacţia este o opţiune call; </w:t>
            </w:r>
          </w:p>
          <w:p w14:paraId="766B7349"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lastRenderedPageBreak/>
              <w:t xml:space="preserve">N(x) = funcţia de distribuţie cumulativă pentru o variabilă aleatorie normală standard, care exprimă probabilitatea ca o variabilă aleatorie normal distribuită, cu media zero și varianţa 1, să fie mai mică sau egală cu x; </w:t>
            </w:r>
          </w:p>
          <w:p w14:paraId="1332B178" w14:textId="6961E190"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P = preţul la vedere sau la termen al instrumentului-suport al opţiunii; pentru opţiuni ale căror fluxuri de numerar depind de o valoare medie a preţului instrumentului-suport, P este egal cu valoarea medie la data calculului; </w:t>
            </w:r>
          </w:p>
          <w:p w14:paraId="1ACF00B8"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K = preţul de exercitare a opţiunii; </w:t>
            </w:r>
          </w:p>
          <w:p w14:paraId="125B4832" w14:textId="7429024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T = perioada cuprinsă între data expirării opţiunii (</w:t>
            </w:r>
            <w:r w:rsidR="006858D8" w:rsidRPr="008070DB">
              <w:rPr>
                <w:rFonts w:eastAsiaTheme="minorHAnsi"/>
                <w:color w:val="000000"/>
                <w:sz w:val="18"/>
                <w:szCs w:val="18"/>
                <w:lang w:val="ro-MD" w:eastAsia="en-US"/>
                <w14:ligatures w14:val="standardContextual"/>
              </w:rPr>
              <w:t xml:space="preserve"> T</w:t>
            </w:r>
            <w:r w:rsidR="006858D8" w:rsidRPr="008070DB">
              <w:rPr>
                <w:rFonts w:eastAsiaTheme="minorHAnsi"/>
                <w:color w:val="000000"/>
                <w:sz w:val="18"/>
                <w:szCs w:val="18"/>
                <w:vertAlign w:val="subscript"/>
                <w:lang w:val="ro-MD" w:eastAsia="en-US"/>
                <w14:ligatures w14:val="standardContextual"/>
              </w:rPr>
              <w:t>exp</w:t>
            </w:r>
            <w:r w:rsidRPr="008070DB">
              <w:rPr>
                <w:rFonts w:eastAsiaTheme="minorHAnsi"/>
                <w:color w:val="000000"/>
                <w:sz w:val="18"/>
                <w:szCs w:val="18"/>
                <w:lang w:val="ro-MD" w:eastAsia="en-US"/>
                <w14:ligatures w14:val="standardContextual"/>
              </w:rPr>
              <w:t>) și data raportării; pentru opţiuni care pot fi exercitate numai la o dată viitoare, T</w:t>
            </w:r>
            <w:r w:rsidRPr="008070DB">
              <w:rPr>
                <w:rFonts w:eastAsiaTheme="minorHAnsi"/>
                <w:color w:val="000000"/>
                <w:sz w:val="18"/>
                <w:szCs w:val="18"/>
                <w:vertAlign w:val="subscript"/>
                <w:lang w:val="ro-MD" w:eastAsia="en-US"/>
                <w14:ligatures w14:val="standardContextual"/>
              </w:rPr>
              <w:t>exp</w:t>
            </w:r>
            <w:r w:rsidRPr="008070DB">
              <w:rPr>
                <w:rFonts w:eastAsiaTheme="minorHAnsi"/>
                <w:color w:val="000000"/>
                <w:sz w:val="18"/>
                <w:szCs w:val="18"/>
                <w:lang w:val="ro-MD" w:eastAsia="en-US"/>
                <w14:ligatures w14:val="standardContextual"/>
              </w:rPr>
              <w:t xml:space="preserve"> este egală cu data respectivă; pentru opţiuni care pot fi exercitate la multiple date viitoare, </w:t>
            </w:r>
            <w:r w:rsidR="006858D8" w:rsidRPr="008070DB">
              <w:rPr>
                <w:rFonts w:eastAsiaTheme="minorHAnsi"/>
                <w:color w:val="000000"/>
                <w:sz w:val="18"/>
                <w:szCs w:val="18"/>
                <w:lang w:val="ro-MD" w:eastAsia="en-US"/>
                <w14:ligatures w14:val="standardContextual"/>
              </w:rPr>
              <w:t xml:space="preserve"> T</w:t>
            </w:r>
            <w:r w:rsidR="006858D8" w:rsidRPr="008070DB">
              <w:rPr>
                <w:rFonts w:eastAsiaTheme="minorHAnsi"/>
                <w:color w:val="000000"/>
                <w:sz w:val="18"/>
                <w:szCs w:val="18"/>
                <w:vertAlign w:val="subscript"/>
                <w:lang w:val="ro-MD" w:eastAsia="en-US"/>
                <w14:ligatures w14:val="standardContextual"/>
              </w:rPr>
              <w:t>exp</w:t>
            </w:r>
            <w:r w:rsidR="006858D8" w:rsidRPr="008070DB">
              <w:rPr>
                <w:rFonts w:eastAsiaTheme="minorHAnsi"/>
                <w:color w:val="000000"/>
                <w:sz w:val="18"/>
                <w:szCs w:val="18"/>
                <w:lang w:val="ro-MD" w:eastAsia="en-US"/>
                <w14:ligatures w14:val="standardContextual"/>
              </w:rPr>
              <w:t xml:space="preserve">  </w:t>
            </w:r>
            <w:r w:rsidRPr="008070DB">
              <w:rPr>
                <w:rFonts w:eastAsiaTheme="minorHAnsi"/>
                <w:color w:val="000000"/>
                <w:sz w:val="18"/>
                <w:szCs w:val="18"/>
                <w:lang w:val="ro-MD" w:eastAsia="en-US"/>
                <w14:ligatures w14:val="standardContextual"/>
              </w:rPr>
              <w:t xml:space="preserve">este egală cu ultima dintre datele respective; T se exprimă în ani, utilizând convenţia privind zilele lucrătoare relevantă; și </w:t>
            </w:r>
          </w:p>
          <w:p w14:paraId="52ED663A"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σ = volatilitatea reglementată a opţiunii, determinată în conformitate cu tabelul 1 în funcţie de categoria de risc a tranzacţiei și de natura instrumentului-suport al opţiunii. </w:t>
            </w:r>
          </w:p>
          <w:p w14:paraId="7877A485" w14:textId="77777777" w:rsidR="001A4DE8" w:rsidRPr="008070DB" w:rsidRDefault="001A4DE8" w:rsidP="003456B0">
            <w:pPr>
              <w:pStyle w:val="Default"/>
              <w:ind w:firstLine="567"/>
              <w:jc w:val="both"/>
              <w:rPr>
                <w:rFonts w:ascii="Times New Roman" w:hAnsi="Times New Roman" w:cs="Times New Roman"/>
                <w:i/>
                <w:iCs/>
                <w:sz w:val="18"/>
                <w:szCs w:val="18"/>
              </w:rPr>
            </w:pPr>
            <w:r w:rsidRPr="008070DB">
              <w:rPr>
                <w:rFonts w:ascii="Times New Roman" w:hAnsi="Times New Roman" w:cs="Times New Roman"/>
                <w:i/>
                <w:iCs/>
                <w:sz w:val="18"/>
                <w:szCs w:val="18"/>
              </w:rPr>
              <w:t>Tabelul 1</w:t>
            </w:r>
          </w:p>
          <w:p w14:paraId="20EF8046" w14:textId="77777777" w:rsidR="001A4DE8" w:rsidRPr="008070DB" w:rsidRDefault="001A4DE8" w:rsidP="003456B0">
            <w:pPr>
              <w:pStyle w:val="Default"/>
              <w:ind w:firstLine="567"/>
              <w:jc w:val="both"/>
              <w:rPr>
                <w:rFonts w:ascii="Times New Roman" w:hAnsi="Times New Roman" w:cs="Times New Roman"/>
                <w:i/>
                <w:iCs/>
                <w:sz w:val="18"/>
                <w:szCs w:val="18"/>
              </w:rPr>
            </w:pPr>
          </w:p>
          <w:tbl>
            <w:tblPr>
              <w:tblW w:w="411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12"/>
              <w:gridCol w:w="1410"/>
              <w:gridCol w:w="1691"/>
            </w:tblGrid>
            <w:tr w:rsidR="001A4DE8" w:rsidRPr="008070DB" w14:paraId="28F4736A" w14:textId="77777777" w:rsidTr="009B4A85">
              <w:trPr>
                <w:trHeight w:val="429"/>
              </w:trPr>
              <w:tc>
                <w:tcPr>
                  <w:tcW w:w="1012" w:type="dxa"/>
                  <w:tcBorders>
                    <w:top w:val="outset" w:sz="6" w:space="0" w:color="auto"/>
                    <w:left w:val="outset" w:sz="6" w:space="0" w:color="auto"/>
                    <w:bottom w:val="outset" w:sz="6" w:space="0" w:color="auto"/>
                    <w:right w:val="outset" w:sz="6" w:space="0" w:color="auto"/>
                  </w:tcBorders>
                  <w:shd w:val="clear" w:color="auto" w:fill="FFFFFF"/>
                  <w:hideMark/>
                </w:tcPr>
                <w:p w14:paraId="1F18BDF2" w14:textId="77777777" w:rsidR="001A4DE8" w:rsidRPr="008070DB" w:rsidRDefault="001A4DE8" w:rsidP="00EB7E01">
                  <w:pPr>
                    <w:framePr w:hSpace="180" w:wrap="around" w:vAnchor="text" w:hAnchor="text" w:y="1"/>
                    <w:spacing w:before="60" w:after="60" w:line="312" w:lineRule="atLeast"/>
                    <w:ind w:firstLine="3"/>
                    <w:suppressOverlap/>
                    <w:jc w:val="both"/>
                    <w:rPr>
                      <w:color w:val="333333"/>
                      <w:sz w:val="18"/>
                      <w:szCs w:val="18"/>
                      <w:lang w:val="en-US" w:eastAsia="ro-MD"/>
                    </w:rPr>
                  </w:pPr>
                  <w:r w:rsidRPr="008070DB">
                    <w:rPr>
                      <w:color w:val="333333"/>
                      <w:sz w:val="18"/>
                      <w:szCs w:val="18"/>
                      <w:lang w:val="en-US" w:eastAsia="ro-MD"/>
                    </w:rPr>
                    <w:t>Categorie de risc</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133BAF74"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val="en-US" w:eastAsia="ro-MD"/>
                    </w:rPr>
                  </w:pPr>
                  <w:r w:rsidRPr="008070DB">
                    <w:rPr>
                      <w:color w:val="333333"/>
                      <w:sz w:val="18"/>
                      <w:szCs w:val="18"/>
                      <w:lang w:val="en-US" w:eastAsia="ro-MD"/>
                    </w:rPr>
                    <w:t>Instrumentul-suport</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73C6B401"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val="en-US" w:eastAsia="ro-MD"/>
                    </w:rPr>
                  </w:pPr>
                  <w:r w:rsidRPr="008070DB">
                    <w:rPr>
                      <w:color w:val="333333"/>
                      <w:sz w:val="18"/>
                      <w:szCs w:val="18"/>
                      <w:lang w:val="en-US" w:eastAsia="ro-MD"/>
                    </w:rPr>
                    <w:t>Volatilitatea reglementată</w:t>
                  </w:r>
                </w:p>
              </w:tc>
            </w:tr>
            <w:tr w:rsidR="001A4DE8" w:rsidRPr="008070DB" w14:paraId="2CCE7177" w14:textId="77777777" w:rsidTr="009B4A85">
              <w:trPr>
                <w:trHeight w:val="442"/>
              </w:trPr>
              <w:tc>
                <w:tcPr>
                  <w:tcW w:w="1012" w:type="dxa"/>
                  <w:tcBorders>
                    <w:top w:val="outset" w:sz="6" w:space="0" w:color="auto"/>
                    <w:left w:val="outset" w:sz="6" w:space="0" w:color="auto"/>
                    <w:bottom w:val="outset" w:sz="6" w:space="0" w:color="auto"/>
                    <w:right w:val="outset" w:sz="6" w:space="0" w:color="auto"/>
                  </w:tcBorders>
                  <w:shd w:val="clear" w:color="auto" w:fill="FFFFFF"/>
                  <w:hideMark/>
                </w:tcPr>
                <w:p w14:paraId="44FC7676" w14:textId="0F2990A9" w:rsidR="001A4DE8" w:rsidRPr="008070DB" w:rsidRDefault="00B606C5"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V</w:t>
                  </w:r>
                  <w:r w:rsidR="001A4DE8" w:rsidRPr="008070DB">
                    <w:rPr>
                      <w:color w:val="333333"/>
                      <w:sz w:val="18"/>
                      <w:szCs w:val="18"/>
                      <w:lang w:val="en-US" w:eastAsia="ro-MD"/>
                    </w:rPr>
                    <w:t>alutar</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24595540"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Toate</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12283D90"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val="en-US" w:eastAsia="ro-MD"/>
                    </w:rPr>
                  </w:pPr>
                  <w:r w:rsidRPr="008070DB">
                    <w:rPr>
                      <w:color w:val="333333"/>
                      <w:sz w:val="18"/>
                      <w:szCs w:val="18"/>
                      <w:lang w:val="en-US" w:eastAsia="ro-MD"/>
                    </w:rPr>
                    <w:t>15 %</w:t>
                  </w:r>
                </w:p>
              </w:tc>
            </w:tr>
            <w:tr w:rsidR="001A4DE8" w:rsidRPr="008070DB" w14:paraId="6E273BEE" w14:textId="77777777" w:rsidTr="009B4A85">
              <w:trPr>
                <w:trHeight w:val="456"/>
              </w:trPr>
              <w:tc>
                <w:tcPr>
                  <w:tcW w:w="101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6E3A5E5"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Credit</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665FF67D"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Instrument având la bază o singură semnătură</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0A801160"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eastAsia="ro-MD"/>
                    </w:rPr>
                  </w:pPr>
                  <w:r w:rsidRPr="008070DB">
                    <w:rPr>
                      <w:color w:val="333333"/>
                      <w:sz w:val="18"/>
                      <w:szCs w:val="18"/>
                      <w:lang w:eastAsia="ro-MD"/>
                    </w:rPr>
                    <w:t>100 %</w:t>
                  </w:r>
                </w:p>
              </w:tc>
            </w:tr>
            <w:tr w:rsidR="001A4DE8" w:rsidRPr="008070DB" w14:paraId="40D18168" w14:textId="77777777" w:rsidTr="009B4A85">
              <w:trPr>
                <w:trHeight w:val="141"/>
              </w:trPr>
              <w:tc>
                <w:tcPr>
                  <w:tcW w:w="10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3122B" w14:textId="77777777" w:rsidR="001A4DE8" w:rsidRPr="008070DB" w:rsidRDefault="001A4DE8" w:rsidP="00EB7E01">
                  <w:pPr>
                    <w:framePr w:hSpace="180" w:wrap="around" w:vAnchor="text" w:hAnchor="text" w:y="1"/>
                    <w:ind w:firstLine="567"/>
                    <w:suppressOverlap/>
                    <w:jc w:val="both"/>
                    <w:rPr>
                      <w:color w:val="333333"/>
                      <w:sz w:val="18"/>
                      <w:szCs w:val="18"/>
                      <w:lang w:eastAsia="ro-MD"/>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2C4CED70"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Instrument având la bază mai multe semnături</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1E3DB83B"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eastAsia="ro-MD"/>
                    </w:rPr>
                  </w:pPr>
                  <w:r w:rsidRPr="008070DB">
                    <w:rPr>
                      <w:color w:val="333333"/>
                      <w:sz w:val="18"/>
                      <w:szCs w:val="18"/>
                      <w:lang w:eastAsia="ro-MD"/>
                    </w:rPr>
                    <w:t>80 %</w:t>
                  </w:r>
                </w:p>
              </w:tc>
            </w:tr>
            <w:tr w:rsidR="001A4DE8" w:rsidRPr="008070DB" w14:paraId="7D68352C" w14:textId="77777777" w:rsidTr="009B4A85">
              <w:trPr>
                <w:trHeight w:val="470"/>
              </w:trPr>
              <w:tc>
                <w:tcPr>
                  <w:tcW w:w="101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05E41AE"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eastAsia="ro-MD"/>
                    </w:rPr>
                  </w:pPr>
                  <w:r w:rsidRPr="008070DB">
                    <w:rPr>
                      <w:color w:val="333333"/>
                      <w:sz w:val="18"/>
                      <w:szCs w:val="18"/>
                      <w:lang w:eastAsia="ro-MD"/>
                    </w:rPr>
                    <w:lastRenderedPageBreak/>
                    <w:t>Titluri de capital</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B0A9450"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Instrument având la bază o singură semnătură</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5FE8B4AD"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eastAsia="ro-MD"/>
                    </w:rPr>
                  </w:pPr>
                  <w:r w:rsidRPr="008070DB">
                    <w:rPr>
                      <w:color w:val="333333"/>
                      <w:sz w:val="18"/>
                      <w:szCs w:val="18"/>
                      <w:lang w:eastAsia="ro-MD"/>
                    </w:rPr>
                    <w:t>120 %</w:t>
                  </w:r>
                </w:p>
              </w:tc>
            </w:tr>
            <w:tr w:rsidR="001A4DE8" w:rsidRPr="008070DB" w14:paraId="160E93D4" w14:textId="77777777" w:rsidTr="009B4A85">
              <w:trPr>
                <w:trHeight w:val="141"/>
              </w:trPr>
              <w:tc>
                <w:tcPr>
                  <w:tcW w:w="10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CCE182" w14:textId="77777777" w:rsidR="001A4DE8" w:rsidRPr="008070DB" w:rsidRDefault="001A4DE8" w:rsidP="00EB7E01">
                  <w:pPr>
                    <w:framePr w:hSpace="180" w:wrap="around" w:vAnchor="text" w:hAnchor="text" w:y="1"/>
                    <w:suppressOverlap/>
                    <w:jc w:val="both"/>
                    <w:rPr>
                      <w:color w:val="333333"/>
                      <w:sz w:val="18"/>
                      <w:szCs w:val="18"/>
                      <w:lang w:eastAsia="ro-MD"/>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4BF3E9E7"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Instrument având la bază mai multe semnături</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67612D2A"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eastAsia="ro-MD"/>
                    </w:rPr>
                  </w:pPr>
                  <w:r w:rsidRPr="008070DB">
                    <w:rPr>
                      <w:color w:val="333333"/>
                      <w:sz w:val="18"/>
                      <w:szCs w:val="18"/>
                      <w:lang w:eastAsia="ro-MD"/>
                    </w:rPr>
                    <w:t>75 %</w:t>
                  </w:r>
                </w:p>
              </w:tc>
            </w:tr>
            <w:tr w:rsidR="001A4DE8" w:rsidRPr="008070DB" w14:paraId="20B9491E" w14:textId="77777777" w:rsidTr="009B4A85">
              <w:trPr>
                <w:trHeight w:val="456"/>
              </w:trPr>
              <w:tc>
                <w:tcPr>
                  <w:tcW w:w="101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4849F140"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eastAsia="ro-MD"/>
                    </w:rPr>
                  </w:pPr>
                  <w:r w:rsidRPr="008070DB">
                    <w:rPr>
                      <w:color w:val="333333"/>
                      <w:sz w:val="18"/>
                      <w:szCs w:val="18"/>
                      <w:lang w:eastAsia="ro-MD"/>
                    </w:rPr>
                    <w:t>Marfă</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57B8F7CB"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eastAsia="ro-MD"/>
                    </w:rPr>
                  </w:pPr>
                  <w:r w:rsidRPr="008070DB">
                    <w:rPr>
                      <w:color w:val="333333"/>
                      <w:sz w:val="18"/>
                      <w:szCs w:val="18"/>
                      <w:lang w:eastAsia="ro-MD"/>
                    </w:rPr>
                    <w:t>Energie electrică</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6E0714E3"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eastAsia="ro-MD"/>
                    </w:rPr>
                  </w:pPr>
                  <w:r w:rsidRPr="008070DB">
                    <w:rPr>
                      <w:color w:val="333333"/>
                      <w:sz w:val="18"/>
                      <w:szCs w:val="18"/>
                      <w:lang w:eastAsia="ro-MD"/>
                    </w:rPr>
                    <w:t>150 %</w:t>
                  </w:r>
                </w:p>
              </w:tc>
            </w:tr>
            <w:tr w:rsidR="001A4DE8" w:rsidRPr="00EB7E01" w14:paraId="01C6CBCD" w14:textId="77777777" w:rsidTr="009B4A85">
              <w:trPr>
                <w:trHeight w:val="141"/>
              </w:trPr>
              <w:tc>
                <w:tcPr>
                  <w:tcW w:w="101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36D917" w14:textId="77777777" w:rsidR="001A4DE8" w:rsidRPr="008070DB" w:rsidRDefault="001A4DE8" w:rsidP="00EB7E01">
                  <w:pPr>
                    <w:framePr w:hSpace="180" w:wrap="around" w:vAnchor="text" w:hAnchor="text" w:y="1"/>
                    <w:suppressOverlap/>
                    <w:jc w:val="both"/>
                    <w:rPr>
                      <w:color w:val="333333"/>
                      <w:sz w:val="18"/>
                      <w:szCs w:val="18"/>
                      <w:lang w:eastAsia="ro-MD"/>
                    </w:rPr>
                  </w:pP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76333559"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Alte mărfuri (mai puțin energia electrică)</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25928A0D"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val="en-US" w:eastAsia="ro-MD"/>
                    </w:rPr>
                  </w:pPr>
                  <w:r w:rsidRPr="008070DB">
                    <w:rPr>
                      <w:color w:val="333333"/>
                      <w:sz w:val="18"/>
                      <w:szCs w:val="18"/>
                      <w:lang w:val="en-US" w:eastAsia="ro-MD"/>
                    </w:rPr>
                    <w:t>70 %</w:t>
                  </w:r>
                </w:p>
              </w:tc>
            </w:tr>
            <w:tr w:rsidR="001A4DE8" w:rsidRPr="00EB7E01" w14:paraId="37A51F58" w14:textId="77777777" w:rsidTr="009B4A85">
              <w:trPr>
                <w:trHeight w:val="429"/>
              </w:trPr>
              <w:tc>
                <w:tcPr>
                  <w:tcW w:w="1012" w:type="dxa"/>
                  <w:tcBorders>
                    <w:top w:val="outset" w:sz="6" w:space="0" w:color="auto"/>
                    <w:left w:val="outset" w:sz="6" w:space="0" w:color="auto"/>
                    <w:bottom w:val="outset" w:sz="6" w:space="0" w:color="auto"/>
                    <w:right w:val="outset" w:sz="6" w:space="0" w:color="auto"/>
                  </w:tcBorders>
                  <w:shd w:val="clear" w:color="auto" w:fill="FFFFFF"/>
                  <w:hideMark/>
                </w:tcPr>
                <w:p w14:paraId="428517FE"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Altele</w:t>
                  </w:r>
                </w:p>
              </w:tc>
              <w:tc>
                <w:tcPr>
                  <w:tcW w:w="1410" w:type="dxa"/>
                  <w:tcBorders>
                    <w:top w:val="outset" w:sz="6" w:space="0" w:color="auto"/>
                    <w:left w:val="outset" w:sz="6" w:space="0" w:color="auto"/>
                    <w:bottom w:val="outset" w:sz="6" w:space="0" w:color="auto"/>
                    <w:right w:val="outset" w:sz="6" w:space="0" w:color="auto"/>
                  </w:tcBorders>
                  <w:shd w:val="clear" w:color="auto" w:fill="FFFFFF"/>
                  <w:hideMark/>
                </w:tcPr>
                <w:p w14:paraId="06F63EAD"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Toate</w:t>
                  </w:r>
                </w:p>
              </w:tc>
              <w:tc>
                <w:tcPr>
                  <w:tcW w:w="1691" w:type="dxa"/>
                  <w:tcBorders>
                    <w:top w:val="outset" w:sz="6" w:space="0" w:color="auto"/>
                    <w:left w:val="outset" w:sz="6" w:space="0" w:color="auto"/>
                    <w:bottom w:val="outset" w:sz="6" w:space="0" w:color="auto"/>
                    <w:right w:val="outset" w:sz="6" w:space="0" w:color="auto"/>
                  </w:tcBorders>
                  <w:shd w:val="clear" w:color="auto" w:fill="FFFFFF"/>
                  <w:hideMark/>
                </w:tcPr>
                <w:p w14:paraId="2FCF1D55" w14:textId="77777777" w:rsidR="001A4DE8" w:rsidRPr="008070DB" w:rsidRDefault="001A4DE8" w:rsidP="00EB7E01">
                  <w:pPr>
                    <w:framePr w:hSpace="180" w:wrap="around" w:vAnchor="text" w:hAnchor="text" w:y="1"/>
                    <w:spacing w:before="60" w:after="60" w:line="312" w:lineRule="atLeast"/>
                    <w:ind w:firstLine="567"/>
                    <w:suppressOverlap/>
                    <w:jc w:val="both"/>
                    <w:rPr>
                      <w:color w:val="333333"/>
                      <w:sz w:val="18"/>
                      <w:szCs w:val="18"/>
                      <w:lang w:val="en-US" w:eastAsia="ro-MD"/>
                    </w:rPr>
                  </w:pPr>
                  <w:r w:rsidRPr="008070DB">
                    <w:rPr>
                      <w:color w:val="333333"/>
                      <w:sz w:val="18"/>
                      <w:szCs w:val="18"/>
                      <w:lang w:val="en-US" w:eastAsia="ro-MD"/>
                    </w:rPr>
                    <w:t>150 %</w:t>
                  </w:r>
                </w:p>
              </w:tc>
            </w:tr>
          </w:tbl>
          <w:p w14:paraId="54B04829" w14:textId="77777777" w:rsidR="001A4DE8" w:rsidRPr="008070DB" w:rsidRDefault="001A4DE8" w:rsidP="003456B0">
            <w:pPr>
              <w:pStyle w:val="Default"/>
              <w:ind w:firstLine="567"/>
              <w:jc w:val="both"/>
              <w:rPr>
                <w:rFonts w:ascii="Times New Roman" w:hAnsi="Times New Roman" w:cs="Times New Roman"/>
                <w:sz w:val="18"/>
                <w:szCs w:val="18"/>
              </w:rPr>
            </w:pPr>
          </w:p>
          <w:p w14:paraId="09CD3AE5" w14:textId="77777777" w:rsidR="001A4DE8" w:rsidRPr="008070DB" w:rsidRDefault="001A4DE8" w:rsidP="003456B0">
            <w:pPr>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color w:val="000000"/>
                <w:sz w:val="18"/>
                <w:szCs w:val="18"/>
                <w:lang w:val="ro-MD" w:eastAsia="en-US"/>
                <w14:ligatures w14:val="standardContextual"/>
              </w:rPr>
              <w:t xml:space="preserve">Băncile care utilizează preţul la termen al instrumentului-suport al unei opţiuni se asigură că: </w:t>
            </w:r>
          </w:p>
          <w:p w14:paraId="2159092F" w14:textId="19969210"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en-US" w:eastAsia="en-US"/>
                <w14:ligatures w14:val="standardContextual"/>
              </w:rPr>
              <w:t>7</w:t>
            </w:r>
            <w:r w:rsidR="004138FD" w:rsidRPr="008070DB">
              <w:rPr>
                <w:rFonts w:eastAsiaTheme="minorHAnsi"/>
                <w:color w:val="000000"/>
                <w:sz w:val="18"/>
                <w:szCs w:val="18"/>
                <w:lang w:val="en-US" w:eastAsia="en-US"/>
                <w14:ligatures w14:val="standardContextual"/>
              </w:rPr>
              <w:t>0</w:t>
            </w:r>
            <w:r w:rsidR="00B67C56" w:rsidRPr="008070DB">
              <w:rPr>
                <w:rFonts w:eastAsiaTheme="minorHAnsi"/>
                <w:color w:val="000000"/>
                <w:sz w:val="18"/>
                <w:szCs w:val="18"/>
                <w:lang w:val="en-US" w:eastAsia="en-US"/>
                <w14:ligatures w14:val="standardContextual"/>
              </w:rPr>
              <w:t>.1.1.</w:t>
            </w:r>
            <w:r w:rsidR="001A4DE8" w:rsidRPr="008070DB">
              <w:rPr>
                <w:rFonts w:eastAsiaTheme="minorHAnsi"/>
                <w:color w:val="000000"/>
                <w:sz w:val="18"/>
                <w:szCs w:val="18"/>
                <w:lang w:val="ro-MD" w:eastAsia="en-US"/>
                <w14:ligatures w14:val="standardContextual"/>
              </w:rPr>
              <w:t xml:space="preserve"> preţul la termen este în concordanţă cu caracteristicile opţiunii; </w:t>
            </w:r>
          </w:p>
          <w:p w14:paraId="6FC20712" w14:textId="5ED64253"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4138FD" w:rsidRPr="008070DB">
              <w:rPr>
                <w:rFonts w:eastAsiaTheme="minorHAnsi"/>
                <w:color w:val="000000"/>
                <w:sz w:val="18"/>
                <w:szCs w:val="18"/>
                <w:lang w:val="ro-MD" w:eastAsia="en-US"/>
                <w14:ligatures w14:val="standardContextual"/>
              </w:rPr>
              <w:t>0</w:t>
            </w:r>
            <w:r w:rsidR="00B67C56" w:rsidRPr="008070DB">
              <w:rPr>
                <w:rFonts w:eastAsiaTheme="minorHAnsi"/>
                <w:color w:val="000000"/>
                <w:sz w:val="18"/>
                <w:szCs w:val="18"/>
                <w:lang w:val="ro-MD" w:eastAsia="en-US"/>
                <w14:ligatures w14:val="standardContextual"/>
              </w:rPr>
              <w:t>.1.2.</w:t>
            </w:r>
            <w:r w:rsidR="001A4DE8" w:rsidRPr="008070DB">
              <w:rPr>
                <w:rFonts w:eastAsiaTheme="minorHAnsi"/>
                <w:color w:val="000000"/>
                <w:sz w:val="18"/>
                <w:szCs w:val="18"/>
                <w:lang w:val="ro-MD" w:eastAsia="en-US"/>
                <w14:ligatures w14:val="standardContextual"/>
              </w:rPr>
              <w:t xml:space="preserve"> preţul la termen se calculează utilizând o rată a dobânzii relevantă care predomină la data raportării; </w:t>
            </w:r>
          </w:p>
          <w:p w14:paraId="019623D2" w14:textId="1B4289E0"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4138FD" w:rsidRPr="008070DB">
              <w:rPr>
                <w:rFonts w:eastAsiaTheme="minorHAnsi"/>
                <w:color w:val="000000"/>
                <w:sz w:val="18"/>
                <w:szCs w:val="18"/>
                <w:lang w:val="ro-MD" w:eastAsia="en-US"/>
                <w14:ligatures w14:val="standardContextual"/>
              </w:rPr>
              <w:t>0</w:t>
            </w:r>
            <w:r w:rsidR="00B67C56" w:rsidRPr="008070DB">
              <w:rPr>
                <w:rFonts w:eastAsiaTheme="minorHAnsi"/>
                <w:color w:val="000000"/>
                <w:sz w:val="18"/>
                <w:szCs w:val="18"/>
                <w:lang w:val="ro-MD" w:eastAsia="en-US"/>
                <w14:ligatures w14:val="standardContextual"/>
              </w:rPr>
              <w:t>.1.3.</w:t>
            </w:r>
            <w:r w:rsidR="001A4DE8" w:rsidRPr="008070DB">
              <w:rPr>
                <w:rFonts w:eastAsiaTheme="minorHAnsi"/>
                <w:color w:val="000000"/>
                <w:sz w:val="18"/>
                <w:szCs w:val="18"/>
                <w:lang w:val="ro-MD" w:eastAsia="en-US"/>
                <w14:ligatures w14:val="standardContextual"/>
              </w:rPr>
              <w:t xml:space="preserve"> preţul la termen integrează fluxurile de numerar preconizate ale instrumentului-suport înainte de expirarea opţiunii; </w:t>
            </w:r>
          </w:p>
          <w:p w14:paraId="1E306160" w14:textId="15D0095F" w:rsidR="00FE7F54"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en-US" w:eastAsia="en-US"/>
                <w14:ligatures w14:val="standardContextual"/>
              </w:rPr>
              <w:t>7</w:t>
            </w:r>
            <w:r w:rsidR="00FE7F54" w:rsidRPr="008070DB">
              <w:rPr>
                <w:rFonts w:eastAsiaTheme="minorHAnsi"/>
                <w:color w:val="000000"/>
                <w:sz w:val="18"/>
                <w:szCs w:val="18"/>
                <w:lang w:val="en-US" w:eastAsia="en-US"/>
                <w14:ligatures w14:val="standardContextual"/>
              </w:rPr>
              <w:t>0.2. pentru tranșele unei securitizări sintetice și pentru un instrument financiar derivat de credit de tip „n</w:t>
            </w:r>
            <w:r w:rsidR="00FE7F54" w:rsidRPr="008070DB">
              <w:rPr>
                <w:rFonts w:eastAsiaTheme="minorHAnsi"/>
                <w:color w:val="000000"/>
                <w:sz w:val="18"/>
                <w:szCs w:val="18"/>
                <w:vertAlign w:val="superscript"/>
                <w:lang w:val="en-US" w:eastAsia="en-US"/>
                <w14:ligatures w14:val="standardContextual"/>
              </w:rPr>
              <w:t>th</w:t>
            </w:r>
            <w:r w:rsidR="00FE7F54" w:rsidRPr="008070DB">
              <w:rPr>
                <w:rFonts w:eastAsiaTheme="minorHAnsi"/>
                <w:color w:val="000000"/>
                <w:sz w:val="18"/>
                <w:szCs w:val="18"/>
                <w:lang w:val="en-US" w:eastAsia="en-US"/>
                <w14:ligatures w14:val="standardContextual"/>
              </w:rPr>
              <w:t xml:space="preserve">-to-default” (al n-lea caz de nerambursare), băncile utilizează următoarea formulă: </w:t>
            </w:r>
          </w:p>
          <w:p w14:paraId="41145AFE" w14:textId="77777777" w:rsidR="00FE7F54" w:rsidRPr="008070DB" w:rsidRDefault="00FE7F54" w:rsidP="003456B0">
            <w:pPr>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noProof/>
                <w:color w:val="000000"/>
                <w:sz w:val="18"/>
                <w:szCs w:val="18"/>
                <w:lang w:val="en-US" w:eastAsia="en-US"/>
                <w14:ligatures w14:val="standardContextual"/>
              </w:rPr>
              <w:drawing>
                <wp:inline distT="0" distB="0" distL="0" distR="0" wp14:anchorId="4688D3C7" wp14:editId="0A314A5E">
                  <wp:extent cx="2013439" cy="354365"/>
                  <wp:effectExtent l="0" t="0" r="635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2851" cy="366581"/>
                          </a:xfrm>
                          <a:prstGeom prst="rect">
                            <a:avLst/>
                          </a:prstGeom>
                          <a:noFill/>
                        </pic:spPr>
                      </pic:pic>
                    </a:graphicData>
                  </a:graphic>
                </wp:inline>
              </w:drawing>
            </w:r>
          </w:p>
          <w:p w14:paraId="44F3A82D" w14:textId="77777777" w:rsidR="00FE7F54" w:rsidRPr="008070DB" w:rsidRDefault="00FE7F54" w:rsidP="003456B0">
            <w:pPr>
              <w:autoSpaceDE w:val="0"/>
              <w:autoSpaceDN w:val="0"/>
              <w:adjustRightInd w:val="0"/>
              <w:jc w:val="both"/>
              <w:rPr>
                <w:rFonts w:eastAsiaTheme="minorHAnsi"/>
                <w:color w:val="000000"/>
                <w:sz w:val="18"/>
                <w:szCs w:val="18"/>
                <w:lang w:val="en-US" w:eastAsia="en-US"/>
                <w14:ligatures w14:val="standardContextual"/>
              </w:rPr>
            </w:pPr>
          </w:p>
          <w:p w14:paraId="5287A162" w14:textId="77777777" w:rsidR="00FE7F54" w:rsidRPr="008070DB" w:rsidRDefault="00FE7F54" w:rsidP="003456B0">
            <w:pPr>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color w:val="000000"/>
                <w:sz w:val="18"/>
                <w:szCs w:val="18"/>
                <w:lang w:val="en-US" w:eastAsia="en-US"/>
                <w14:ligatures w14:val="standardContextual"/>
              </w:rPr>
              <w:t xml:space="preserve">unde: </w:t>
            </w:r>
          </w:p>
          <w:tbl>
            <w:tblPr>
              <w:tblW w:w="3906" w:type="dxa"/>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85"/>
              <w:gridCol w:w="683"/>
              <w:gridCol w:w="2138"/>
            </w:tblGrid>
            <w:tr w:rsidR="00FE7F54" w:rsidRPr="00EB7E01" w14:paraId="1774AF68" w14:textId="77777777" w:rsidTr="00FE7F54">
              <w:trPr>
                <w:trHeight w:val="497"/>
              </w:trPr>
              <w:tc>
                <w:tcPr>
                  <w:tcW w:w="1085" w:type="dxa"/>
                  <w:vMerge w:val="restart"/>
                  <w:shd w:val="clear" w:color="auto" w:fill="FFFFFF"/>
                  <w:tcMar>
                    <w:top w:w="0" w:type="dxa"/>
                    <w:left w:w="0" w:type="dxa"/>
                    <w:bottom w:w="0" w:type="dxa"/>
                    <w:right w:w="0" w:type="dxa"/>
                  </w:tcMar>
                  <w:vAlign w:val="center"/>
                  <w:hideMark/>
                </w:tcPr>
                <w:p w14:paraId="3847210A"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lastRenderedPageBreak/>
                    <w:t>semn (sign) =</w:t>
                  </w:r>
                </w:p>
              </w:tc>
              <w:tc>
                <w:tcPr>
                  <w:tcW w:w="683" w:type="dxa"/>
                  <w:vMerge w:val="restart"/>
                  <w:shd w:val="clear" w:color="auto" w:fill="FFFFFF"/>
                  <w:tcMar>
                    <w:top w:w="0" w:type="dxa"/>
                    <w:left w:w="0" w:type="dxa"/>
                    <w:bottom w:w="0" w:type="dxa"/>
                    <w:right w:w="0" w:type="dxa"/>
                  </w:tcMar>
                  <w:vAlign w:val="center"/>
                  <w:hideMark/>
                </w:tcPr>
                <w:tbl>
                  <w:tblPr>
                    <w:tblW w:w="669" w:type="dxa"/>
                    <w:jc w:val="center"/>
                    <w:tblLayout w:type="fixed"/>
                    <w:tblCellMar>
                      <w:top w:w="15" w:type="dxa"/>
                      <w:left w:w="15" w:type="dxa"/>
                      <w:bottom w:w="15" w:type="dxa"/>
                      <w:right w:w="15" w:type="dxa"/>
                    </w:tblCellMar>
                    <w:tblLook w:val="04A0" w:firstRow="1" w:lastRow="0" w:firstColumn="1" w:lastColumn="0" w:noHBand="0" w:noVBand="1"/>
                  </w:tblPr>
                  <w:tblGrid>
                    <w:gridCol w:w="669"/>
                  </w:tblGrid>
                  <w:tr w:rsidR="00FE7F54" w:rsidRPr="008070DB" w14:paraId="644DDFC8" w14:textId="77777777" w:rsidTr="00FE7F54">
                    <w:trPr>
                      <w:trHeight w:val="1008"/>
                      <w:jc w:val="center"/>
                    </w:trPr>
                    <w:tc>
                      <w:tcPr>
                        <w:tcW w:w="669" w:type="dxa"/>
                        <w:tcMar>
                          <w:top w:w="0" w:type="dxa"/>
                          <w:left w:w="0" w:type="dxa"/>
                          <w:bottom w:w="0" w:type="dxa"/>
                          <w:right w:w="0" w:type="dxa"/>
                        </w:tcMar>
                        <w:vAlign w:val="center"/>
                        <w:hideMark/>
                      </w:tcPr>
                      <w:p w14:paraId="1BCB60D1"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r w:rsidRPr="008070DB">
                          <w:rPr>
                            <w:rFonts w:eastAsiaTheme="minorHAnsi"/>
                            <w:noProof/>
                            <w:color w:val="000000"/>
                            <w:sz w:val="18"/>
                            <w:szCs w:val="18"/>
                            <w:lang w:val="ro-MD" w:eastAsia="en-US"/>
                            <w14:ligatures w14:val="standardContextual"/>
                          </w:rPr>
                          <w:drawing>
                            <wp:inline distT="0" distB="0" distL="0" distR="0" wp14:anchorId="1FFEC028" wp14:editId="0B1E875D">
                              <wp:extent cx="149225" cy="765175"/>
                              <wp:effectExtent l="0" t="0" r="3175" b="0"/>
                              <wp:docPr id="20" name="Picture 20" descr="left acco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ft accolad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225" cy="765175"/>
                                      </a:xfrm>
                                      <a:prstGeom prst="rect">
                                        <a:avLst/>
                                      </a:prstGeom>
                                      <a:noFill/>
                                      <a:ln>
                                        <a:noFill/>
                                      </a:ln>
                                    </pic:spPr>
                                  </pic:pic>
                                </a:graphicData>
                              </a:graphic>
                            </wp:inline>
                          </w:drawing>
                        </w:r>
                      </w:p>
                    </w:tc>
                  </w:tr>
                </w:tbl>
                <w:p w14:paraId="1A8EDBCB"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p>
              </w:tc>
              <w:tc>
                <w:tcPr>
                  <w:tcW w:w="2138" w:type="dxa"/>
                  <w:shd w:val="clear" w:color="auto" w:fill="FFFFFF"/>
                  <w:tcMar>
                    <w:top w:w="0" w:type="dxa"/>
                    <w:left w:w="0" w:type="dxa"/>
                    <w:bottom w:w="0" w:type="dxa"/>
                    <w:right w:w="0" w:type="dxa"/>
                  </w:tcMar>
                  <w:hideMark/>
                </w:tcPr>
                <w:p w14:paraId="7592AFF1"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+ 1 dacă prin tranzacție s-a obținut protecția creditului</w:t>
                  </w:r>
                </w:p>
              </w:tc>
            </w:tr>
            <w:tr w:rsidR="00FE7F54" w:rsidRPr="00EB7E01" w14:paraId="56536ED3" w14:textId="77777777" w:rsidTr="00FE7F54">
              <w:trPr>
                <w:trHeight w:val="119"/>
              </w:trPr>
              <w:tc>
                <w:tcPr>
                  <w:tcW w:w="1085" w:type="dxa"/>
                  <w:vMerge/>
                  <w:shd w:val="clear" w:color="auto" w:fill="FFFFFF"/>
                  <w:vAlign w:val="center"/>
                  <w:hideMark/>
                </w:tcPr>
                <w:p w14:paraId="7279F02F"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p>
              </w:tc>
              <w:tc>
                <w:tcPr>
                  <w:tcW w:w="683" w:type="dxa"/>
                  <w:vMerge/>
                  <w:shd w:val="clear" w:color="auto" w:fill="FFFFFF"/>
                  <w:vAlign w:val="center"/>
                  <w:hideMark/>
                </w:tcPr>
                <w:p w14:paraId="4B003F3F"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p>
              </w:tc>
              <w:tc>
                <w:tcPr>
                  <w:tcW w:w="2138" w:type="dxa"/>
                  <w:shd w:val="clear" w:color="auto" w:fill="FFFFFF"/>
                  <w:tcMar>
                    <w:top w:w="0" w:type="dxa"/>
                    <w:left w:w="0" w:type="dxa"/>
                    <w:bottom w:w="0" w:type="dxa"/>
                    <w:right w:w="0" w:type="dxa"/>
                  </w:tcMar>
                  <w:hideMark/>
                </w:tcPr>
                <w:p w14:paraId="63873D9C" w14:textId="77777777" w:rsidR="00FE7F54" w:rsidRPr="008070DB" w:rsidRDefault="00FE7F54" w:rsidP="00EB7E01">
                  <w:pPr>
                    <w:framePr w:hSpace="180" w:wrap="around" w:vAnchor="text" w:hAnchor="text" w:y="1"/>
                    <w:autoSpaceDE w:val="0"/>
                    <w:autoSpaceDN w:val="0"/>
                    <w:adjustRightInd w:val="0"/>
                    <w:suppressOverlap/>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1 dacă prin tranzacție s-a furnizat protecția creditului</w:t>
                  </w:r>
                </w:p>
              </w:tc>
            </w:tr>
          </w:tbl>
          <w:p w14:paraId="59CF76BB" w14:textId="77777777" w:rsidR="00FE7F54" w:rsidRPr="008070DB" w:rsidRDefault="00FE7F54" w:rsidP="003456B0">
            <w:pPr>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color w:val="000000"/>
                <w:sz w:val="18"/>
                <w:szCs w:val="18"/>
                <w:lang w:val="en-US" w:eastAsia="en-US"/>
                <w14:ligatures w14:val="standardContextual"/>
              </w:rPr>
              <w:t xml:space="preserve">A = plafonul de afectare al tranșei; pentru o tranzacţie cu un instrument financiar derivat de credit de tip „nth-to-default” bazat pe entităţile de referinţă k, A = (n – 1)/k; și </w:t>
            </w:r>
          </w:p>
          <w:p w14:paraId="619BFD16" w14:textId="4B9E2145" w:rsidR="00FE7F54" w:rsidRPr="008070DB" w:rsidRDefault="00FE7F54"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en-US" w:eastAsia="en-US"/>
                <w14:ligatures w14:val="standardContextual"/>
              </w:rPr>
              <w:t>D = plafonul de neafectare al tranșei; pentru o tranzacţie cu un instrument financiar derivat de credit de tip „nth-to-default” bazat pe entităţile de referinţă k, D = n/</w:t>
            </w:r>
            <w:proofErr w:type="gramStart"/>
            <w:r w:rsidRPr="008070DB">
              <w:rPr>
                <w:rFonts w:eastAsiaTheme="minorHAnsi"/>
                <w:color w:val="000000"/>
                <w:sz w:val="18"/>
                <w:szCs w:val="18"/>
                <w:lang w:val="en-US" w:eastAsia="en-US"/>
                <w14:ligatures w14:val="standardContextual"/>
              </w:rPr>
              <w:t>k;</w:t>
            </w:r>
            <w:proofErr w:type="gramEnd"/>
          </w:p>
          <w:p w14:paraId="77E8E084" w14:textId="1ADE14C0"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4138FD" w:rsidRPr="008070DB">
              <w:rPr>
                <w:rFonts w:eastAsiaTheme="minorHAnsi"/>
                <w:color w:val="000000"/>
                <w:sz w:val="18"/>
                <w:szCs w:val="18"/>
                <w:lang w:val="ro-MD" w:eastAsia="en-US"/>
                <w14:ligatures w14:val="standardContextual"/>
              </w:rPr>
              <w:t>0</w:t>
            </w:r>
            <w:r w:rsidR="00B67C56" w:rsidRPr="008070DB">
              <w:rPr>
                <w:rFonts w:eastAsiaTheme="minorHAnsi"/>
                <w:color w:val="000000"/>
                <w:sz w:val="18"/>
                <w:szCs w:val="18"/>
                <w:lang w:val="ro-MD" w:eastAsia="en-US"/>
                <w14:ligatures w14:val="standardContextual"/>
              </w:rPr>
              <w:t>.</w:t>
            </w:r>
            <w:r w:rsidR="00FE7F54" w:rsidRPr="008070DB">
              <w:rPr>
                <w:rFonts w:eastAsiaTheme="minorHAnsi"/>
                <w:color w:val="000000"/>
                <w:sz w:val="18"/>
                <w:szCs w:val="18"/>
                <w:lang w:val="ro-MD" w:eastAsia="en-US"/>
                <w14:ligatures w14:val="standardContextual"/>
              </w:rPr>
              <w:t>3</w:t>
            </w:r>
            <w:r w:rsidR="00B67C56"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pentru tranzacţiile care nu sunt menţionate la </w:t>
            </w:r>
            <w:r w:rsidR="00FE7F54" w:rsidRPr="008070DB">
              <w:rPr>
                <w:rFonts w:eastAsiaTheme="minorHAnsi"/>
                <w:color w:val="000000"/>
                <w:sz w:val="18"/>
                <w:szCs w:val="18"/>
                <w:lang w:val="en-US" w:eastAsia="en-US"/>
                <w14:ligatures w14:val="standardContextual"/>
              </w:rPr>
              <w:t xml:space="preserve">subpunctele </w:t>
            </w:r>
            <w:r w:rsidRPr="008070DB">
              <w:rPr>
                <w:rFonts w:eastAsiaTheme="minorHAnsi"/>
                <w:color w:val="000000"/>
                <w:sz w:val="18"/>
                <w:szCs w:val="18"/>
                <w:lang w:val="en-US" w:eastAsia="en-US"/>
                <w14:ligatures w14:val="standardContextual"/>
              </w:rPr>
              <w:t>7</w:t>
            </w:r>
            <w:r w:rsidR="00FE7F54" w:rsidRPr="008070DB">
              <w:rPr>
                <w:rFonts w:eastAsiaTheme="minorHAnsi"/>
                <w:color w:val="000000"/>
                <w:sz w:val="18"/>
                <w:szCs w:val="18"/>
                <w:lang w:val="en-US" w:eastAsia="en-US"/>
                <w14:ligatures w14:val="standardContextual"/>
              </w:rPr>
              <w:t xml:space="preserve">0.1. sau </w:t>
            </w:r>
            <w:r w:rsidRPr="008070DB">
              <w:rPr>
                <w:rFonts w:eastAsiaTheme="minorHAnsi"/>
                <w:color w:val="000000"/>
                <w:sz w:val="18"/>
                <w:szCs w:val="18"/>
                <w:lang w:val="en-US" w:eastAsia="en-US"/>
                <w14:ligatures w14:val="standardContextual"/>
              </w:rPr>
              <w:t>7</w:t>
            </w:r>
            <w:r w:rsidR="00FE7F54" w:rsidRPr="008070DB">
              <w:rPr>
                <w:rFonts w:eastAsiaTheme="minorHAnsi"/>
                <w:color w:val="000000"/>
                <w:sz w:val="18"/>
                <w:szCs w:val="18"/>
                <w:lang w:val="en-US" w:eastAsia="en-US"/>
                <w14:ligatures w14:val="standardContextual"/>
              </w:rPr>
              <w:t xml:space="preserve">0.2., </w:t>
            </w:r>
            <w:r w:rsidR="001A4DE8" w:rsidRPr="008070DB">
              <w:rPr>
                <w:rFonts w:eastAsiaTheme="minorHAnsi"/>
                <w:color w:val="000000"/>
                <w:sz w:val="18"/>
                <w:szCs w:val="18"/>
                <w:lang w:val="ro-MD" w:eastAsia="en-US"/>
                <w14:ligatures w14:val="standardContextual"/>
              </w:rPr>
              <w:t xml:space="preserve">băncile utilizează următorul delta reglementat: </w:t>
            </w:r>
          </w:p>
          <w:p w14:paraId="6108A4F5" w14:textId="77777777" w:rsidR="004138FD" w:rsidRPr="008070DB" w:rsidRDefault="004138FD" w:rsidP="003456B0">
            <w:pPr>
              <w:autoSpaceDE w:val="0"/>
              <w:autoSpaceDN w:val="0"/>
              <w:adjustRightInd w:val="0"/>
              <w:jc w:val="both"/>
              <w:rPr>
                <w:rFonts w:eastAsiaTheme="minorHAnsi"/>
                <w:color w:val="000000"/>
                <w:sz w:val="18"/>
                <w:szCs w:val="18"/>
                <w:lang w:val="ro-MD" w:eastAsia="en-US"/>
                <w14:ligatures w14:val="standardContextual"/>
              </w:rPr>
            </w:pPr>
          </w:p>
          <w:p w14:paraId="46932B4F" w14:textId="458366A8" w:rsidR="004138FD" w:rsidRPr="008070DB" w:rsidRDefault="004138FD"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noProof/>
                <w:color w:val="000000"/>
                <w:sz w:val="18"/>
                <w:szCs w:val="18"/>
                <w:lang w:val="ro-MD" w:eastAsia="en-US"/>
                <w14:ligatures w14:val="standardContextual"/>
              </w:rPr>
              <w:drawing>
                <wp:inline distT="0" distB="0" distL="0" distR="0" wp14:anchorId="5003CE4E" wp14:editId="18980FEA">
                  <wp:extent cx="1328468" cy="233572"/>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8517" cy="237097"/>
                          </a:xfrm>
                          <a:prstGeom prst="rect">
                            <a:avLst/>
                          </a:prstGeom>
                          <a:noFill/>
                        </pic:spPr>
                      </pic:pic>
                    </a:graphicData>
                  </a:graphic>
                </wp:inline>
              </w:drawing>
            </w:r>
          </w:p>
          <w:p w14:paraId="4C59CFA6" w14:textId="501424D2" w:rsidR="004138FD" w:rsidRPr="008070DB" w:rsidRDefault="004138FD"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unde:</w:t>
            </w:r>
          </w:p>
          <w:p w14:paraId="3BFA0EC2" w14:textId="77777777" w:rsidR="001A4DE8" w:rsidRPr="008070DB" w:rsidRDefault="001A4DE8" w:rsidP="003456B0">
            <w:pPr>
              <w:pStyle w:val="Default"/>
              <w:jc w:val="both"/>
              <w:rPr>
                <w:rFonts w:ascii="Times New Roman" w:hAnsi="Times New Roman" w:cs="Times New Roman"/>
                <w:sz w:val="18"/>
                <w:szCs w:val="18"/>
              </w:rPr>
            </w:pPr>
          </w:p>
          <w:tbl>
            <w:tblPr>
              <w:tblStyle w:val="TableGrid"/>
              <w:tblW w:w="5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8"/>
              <w:gridCol w:w="351"/>
              <w:gridCol w:w="4657"/>
            </w:tblGrid>
            <w:tr w:rsidR="001A4DE8" w:rsidRPr="00EB7E01" w14:paraId="2D69EFE0" w14:textId="77777777" w:rsidTr="00B11411">
              <w:trPr>
                <w:trHeight w:val="501"/>
              </w:trPr>
              <w:tc>
                <w:tcPr>
                  <w:tcW w:w="408" w:type="dxa"/>
                  <w:vMerge w:val="restart"/>
                </w:tcPr>
                <w:p w14:paraId="0314EF96"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p>
                <w:p w14:paraId="55380F6E"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r w:rsidRPr="008070DB">
                    <w:rPr>
                      <w:rFonts w:ascii="Times New Roman" w:hAnsi="Times New Roman"/>
                      <w:color w:val="000000"/>
                      <w:sz w:val="18"/>
                      <w:szCs w:val="18"/>
                    </w:rPr>
                    <w:t>δ =</w:t>
                  </w:r>
                </w:p>
              </w:tc>
              <w:tc>
                <w:tcPr>
                  <w:tcW w:w="351" w:type="dxa"/>
                  <w:vMerge w:val="restart"/>
                </w:tcPr>
                <w:p w14:paraId="62B4C2CE"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r w:rsidRPr="008070DB">
                    <w:rPr>
                      <w:rFonts w:ascii="Times New Roman" w:hAnsi="Times New Roman"/>
                      <w:color w:val="000000"/>
                      <w:sz w:val="18"/>
                      <w:szCs w:val="18"/>
                    </w:rPr>
                    <w:t>{</w:t>
                  </w:r>
                </w:p>
              </w:tc>
              <w:tc>
                <w:tcPr>
                  <w:tcW w:w="4657" w:type="dxa"/>
                </w:tcPr>
                <w:p w14:paraId="4BA2537E"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r w:rsidRPr="008070DB">
                    <w:rPr>
                      <w:rFonts w:ascii="Times New Roman" w:hAnsi="Times New Roman"/>
                      <w:color w:val="000000"/>
                      <w:sz w:val="18"/>
                      <w:szCs w:val="18"/>
                    </w:rPr>
                    <w:t>+ 1 dacă tranzacţia este o poziţie lungă pe determinantul de risc principal sau cel mai semnificativ determinant de risc în acea categorie de risc</w:t>
                  </w:r>
                </w:p>
              </w:tc>
            </w:tr>
            <w:tr w:rsidR="001A4DE8" w:rsidRPr="00EB7E01" w14:paraId="3D486430" w14:textId="77777777" w:rsidTr="00B11411">
              <w:trPr>
                <w:trHeight w:val="87"/>
              </w:trPr>
              <w:tc>
                <w:tcPr>
                  <w:tcW w:w="408" w:type="dxa"/>
                  <w:vMerge/>
                </w:tcPr>
                <w:p w14:paraId="54243BD1"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p>
              </w:tc>
              <w:tc>
                <w:tcPr>
                  <w:tcW w:w="351" w:type="dxa"/>
                  <w:vMerge/>
                </w:tcPr>
                <w:p w14:paraId="0D1799CB"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p>
              </w:tc>
              <w:tc>
                <w:tcPr>
                  <w:tcW w:w="4657" w:type="dxa"/>
                </w:tcPr>
                <w:p w14:paraId="5D73C48E" w14:textId="77777777" w:rsidR="001A4DE8" w:rsidRPr="008070DB" w:rsidRDefault="001A4DE8" w:rsidP="00EB7E01">
                  <w:pPr>
                    <w:pStyle w:val="CM4"/>
                    <w:framePr w:hSpace="180" w:wrap="around" w:vAnchor="text" w:hAnchor="text" w:y="1"/>
                    <w:suppressOverlap/>
                    <w:jc w:val="both"/>
                    <w:rPr>
                      <w:rFonts w:ascii="Times New Roman" w:hAnsi="Times New Roman"/>
                      <w:color w:val="000000"/>
                      <w:sz w:val="18"/>
                      <w:szCs w:val="18"/>
                    </w:rPr>
                  </w:pPr>
                  <w:r w:rsidRPr="008070DB">
                    <w:rPr>
                      <w:rFonts w:ascii="Times New Roman" w:hAnsi="Times New Roman"/>
                      <w:color w:val="000000"/>
                      <w:sz w:val="18"/>
                      <w:szCs w:val="18"/>
                    </w:rPr>
                    <w:t>– 1 dacă tranzacţia este o poziţie scurtă pe determinantul de risc principal sau cel mai semnificativ determinant de risc în acea categorie de risc</w:t>
                  </w:r>
                </w:p>
              </w:tc>
            </w:tr>
          </w:tbl>
          <w:p w14:paraId="1D384ECB" w14:textId="77777777" w:rsidR="001A4DE8" w:rsidRPr="008070DB" w:rsidRDefault="001A4DE8" w:rsidP="003456B0">
            <w:pPr>
              <w:pStyle w:val="Default"/>
              <w:jc w:val="both"/>
              <w:rPr>
                <w:rFonts w:ascii="Times New Roman" w:hAnsi="Times New Roman" w:cs="Times New Roman"/>
                <w:sz w:val="18"/>
                <w:szCs w:val="18"/>
              </w:rPr>
            </w:pPr>
          </w:p>
          <w:p w14:paraId="6F8EEA3F" w14:textId="77777777" w:rsidR="004138FD" w:rsidRPr="008070DB" w:rsidRDefault="004138FD"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A = plafonul de afectare al tranșei; pentru o tranzacţie cu un instrument financiar derivat de credit de tip „nth-to-default” bazat pe entităţile de referinţă k, A = (n – 1)/k; și </w:t>
            </w:r>
          </w:p>
          <w:p w14:paraId="58BD60CE" w14:textId="77777777" w:rsidR="004138FD" w:rsidRPr="008070DB" w:rsidRDefault="004138FD"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rPr>
              <w:t>D = plafonul de neafectare al tranșei; pentru o tranzacţie cu un instrument financiar derivat de credit de tip „nth-to-default” bazat pe entităţile de referinţă k, D = n/</w:t>
            </w:r>
            <w:proofErr w:type="gramStart"/>
            <w:r w:rsidRPr="008070DB">
              <w:rPr>
                <w:rFonts w:ascii="Times New Roman" w:hAnsi="Times New Roman" w:cs="Times New Roman"/>
                <w:sz w:val="18"/>
                <w:szCs w:val="18"/>
              </w:rPr>
              <w:t>k;</w:t>
            </w:r>
            <w:proofErr w:type="gramEnd"/>
          </w:p>
          <w:p w14:paraId="7437AAA8" w14:textId="008F0688" w:rsidR="004138FD" w:rsidRPr="008070DB" w:rsidRDefault="00376CEA"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lang w:val="ro-MD"/>
              </w:rPr>
              <w:t>7</w:t>
            </w:r>
            <w:r w:rsidR="00FE7F54" w:rsidRPr="008070DB">
              <w:rPr>
                <w:rFonts w:ascii="Times New Roman" w:hAnsi="Times New Roman" w:cs="Times New Roman"/>
                <w:sz w:val="18"/>
                <w:szCs w:val="18"/>
                <w:lang w:val="ro-MD"/>
              </w:rPr>
              <w:t xml:space="preserve">0.3. </w:t>
            </w:r>
            <w:r w:rsidR="004138FD" w:rsidRPr="008070DB">
              <w:rPr>
                <w:rFonts w:ascii="Times New Roman" w:hAnsi="Times New Roman" w:cs="Times New Roman"/>
                <w:sz w:val="18"/>
                <w:szCs w:val="18"/>
                <w:lang w:val="ro-MD"/>
              </w:rPr>
              <w:t xml:space="preserve">pentru tranzacţiile care nu sunt menţionate la subpunctele </w:t>
            </w:r>
            <w:r w:rsidRPr="008070DB">
              <w:rPr>
                <w:rFonts w:ascii="Times New Roman" w:hAnsi="Times New Roman" w:cs="Times New Roman"/>
                <w:sz w:val="18"/>
                <w:szCs w:val="18"/>
                <w:lang w:val="ro-MD"/>
              </w:rPr>
              <w:t>7</w:t>
            </w:r>
            <w:r w:rsidR="004138FD" w:rsidRPr="008070DB">
              <w:rPr>
                <w:rFonts w:ascii="Times New Roman" w:hAnsi="Times New Roman" w:cs="Times New Roman"/>
                <w:sz w:val="18"/>
                <w:szCs w:val="18"/>
                <w:lang w:val="ro-MD"/>
              </w:rPr>
              <w:t xml:space="preserve">0.1. sau </w:t>
            </w:r>
            <w:r w:rsidRPr="008070DB">
              <w:rPr>
                <w:rFonts w:ascii="Times New Roman" w:hAnsi="Times New Roman" w:cs="Times New Roman"/>
                <w:sz w:val="18"/>
                <w:szCs w:val="18"/>
                <w:lang w:val="ro-MD"/>
              </w:rPr>
              <w:t>7</w:t>
            </w:r>
            <w:r w:rsidR="004138FD" w:rsidRPr="008070DB">
              <w:rPr>
                <w:rFonts w:ascii="Times New Roman" w:hAnsi="Times New Roman" w:cs="Times New Roman"/>
                <w:sz w:val="18"/>
                <w:szCs w:val="18"/>
                <w:lang w:val="ro-MD"/>
              </w:rPr>
              <w:t xml:space="preserve">0.2., băncile utilizează următorul delta reglementat: </w:t>
            </w:r>
          </w:p>
          <w:p w14:paraId="169AD77C" w14:textId="77777777" w:rsidR="004138FD" w:rsidRPr="008070DB" w:rsidRDefault="004138FD" w:rsidP="003456B0">
            <w:pPr>
              <w:pStyle w:val="Default"/>
              <w:jc w:val="both"/>
              <w:rPr>
                <w:rFonts w:ascii="Times New Roman" w:hAnsi="Times New Roman" w:cs="Times New Roman"/>
                <w:sz w:val="18"/>
                <w:szCs w:val="18"/>
                <w:lang w:val="ro-MD"/>
              </w:rPr>
            </w:pPr>
          </w:p>
          <w:tbl>
            <w:tblPr>
              <w:tblStyle w:val="TableGrid"/>
              <w:tblW w:w="4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
              <w:gridCol w:w="401"/>
              <w:gridCol w:w="3273"/>
            </w:tblGrid>
            <w:tr w:rsidR="004138FD" w:rsidRPr="00EB7E01" w14:paraId="4FE454F2" w14:textId="77777777" w:rsidTr="004138FD">
              <w:trPr>
                <w:trHeight w:val="428"/>
              </w:trPr>
              <w:tc>
                <w:tcPr>
                  <w:tcW w:w="446" w:type="dxa"/>
                  <w:vMerge w:val="restart"/>
                </w:tcPr>
                <w:p w14:paraId="4D496B9D" w14:textId="77777777" w:rsidR="004138FD" w:rsidRPr="008070DB" w:rsidRDefault="004138FD" w:rsidP="00EB7E01">
                  <w:pPr>
                    <w:pStyle w:val="Default"/>
                    <w:framePr w:hSpace="180" w:wrap="around" w:vAnchor="text" w:hAnchor="text" w:y="1"/>
                    <w:suppressOverlap/>
                    <w:jc w:val="both"/>
                    <w:rPr>
                      <w:rFonts w:ascii="Times New Roman" w:hAnsi="Times New Roman" w:cs="Times New Roman"/>
                      <w:sz w:val="18"/>
                      <w:szCs w:val="18"/>
                      <w:lang w:val="ro-MD" w:eastAsia="en-US"/>
                    </w:rPr>
                  </w:pPr>
                </w:p>
                <w:p w14:paraId="14B24F63" w14:textId="77777777" w:rsidR="004138FD" w:rsidRPr="008070DB" w:rsidRDefault="004138FD" w:rsidP="00EB7E01">
                  <w:pPr>
                    <w:pStyle w:val="Default"/>
                    <w:framePr w:hSpace="180" w:wrap="around" w:vAnchor="text" w:hAnchor="text" w:y="1"/>
                    <w:suppressOverlap/>
                    <w:jc w:val="both"/>
                    <w:rPr>
                      <w:rFonts w:ascii="Times New Roman" w:hAnsi="Times New Roman" w:cs="Times New Roman"/>
                      <w:sz w:val="18"/>
                      <w:szCs w:val="18"/>
                      <w:lang w:val="ro-MD" w:eastAsia="en-US"/>
                    </w:rPr>
                  </w:pPr>
                  <w:r w:rsidRPr="008070DB">
                    <w:rPr>
                      <w:rFonts w:ascii="Times New Roman" w:hAnsi="Times New Roman" w:cs="Times New Roman"/>
                      <w:sz w:val="18"/>
                      <w:szCs w:val="18"/>
                      <w:lang w:val="ro-MD" w:eastAsia="en-US"/>
                    </w:rPr>
                    <w:t>δ =</w:t>
                  </w:r>
                </w:p>
              </w:tc>
              <w:tc>
                <w:tcPr>
                  <w:tcW w:w="401" w:type="dxa"/>
                  <w:vMerge w:val="restart"/>
                </w:tcPr>
                <w:p w14:paraId="179C4B47" w14:textId="77777777" w:rsidR="004138FD" w:rsidRPr="008070DB" w:rsidRDefault="004138FD" w:rsidP="00EB7E01">
                  <w:pPr>
                    <w:pStyle w:val="Default"/>
                    <w:framePr w:hSpace="180" w:wrap="around" w:vAnchor="text" w:hAnchor="text" w:y="1"/>
                    <w:suppressOverlap/>
                    <w:jc w:val="both"/>
                    <w:rPr>
                      <w:rFonts w:ascii="Times New Roman" w:hAnsi="Times New Roman" w:cs="Times New Roman"/>
                      <w:sz w:val="18"/>
                      <w:szCs w:val="18"/>
                      <w:lang w:val="ro-MD" w:eastAsia="en-US"/>
                    </w:rPr>
                  </w:pPr>
                  <w:r w:rsidRPr="008070DB">
                    <w:rPr>
                      <w:rFonts w:ascii="Times New Roman" w:hAnsi="Times New Roman" w:cs="Times New Roman"/>
                      <w:sz w:val="18"/>
                      <w:szCs w:val="18"/>
                      <w:lang w:val="ro-MD" w:eastAsia="en-US"/>
                    </w:rPr>
                    <w:t>{</w:t>
                  </w:r>
                </w:p>
              </w:tc>
              <w:tc>
                <w:tcPr>
                  <w:tcW w:w="3273" w:type="dxa"/>
                </w:tcPr>
                <w:p w14:paraId="6200B31D" w14:textId="77777777" w:rsidR="004138FD" w:rsidRPr="008070DB" w:rsidRDefault="004138FD" w:rsidP="00EB7E01">
                  <w:pPr>
                    <w:pStyle w:val="Default"/>
                    <w:framePr w:hSpace="180" w:wrap="around" w:vAnchor="text" w:hAnchor="text" w:y="1"/>
                    <w:suppressOverlap/>
                    <w:jc w:val="both"/>
                    <w:rPr>
                      <w:rFonts w:ascii="Times New Roman" w:hAnsi="Times New Roman" w:cs="Times New Roman"/>
                      <w:sz w:val="18"/>
                      <w:szCs w:val="18"/>
                      <w:lang w:val="ro-MD" w:eastAsia="en-US"/>
                    </w:rPr>
                  </w:pPr>
                  <w:r w:rsidRPr="008070DB">
                    <w:rPr>
                      <w:rFonts w:ascii="Times New Roman" w:hAnsi="Times New Roman" w:cs="Times New Roman"/>
                      <w:sz w:val="18"/>
                      <w:szCs w:val="18"/>
                      <w:lang w:val="ro-MD" w:eastAsia="en-US"/>
                    </w:rPr>
                    <w:t xml:space="preserve">+ 1 dacă tranzacţia este o poziţie lungă pe determinantul de risc principal sau cel mai </w:t>
                  </w:r>
                  <w:r w:rsidRPr="008070DB">
                    <w:rPr>
                      <w:rFonts w:ascii="Times New Roman" w:hAnsi="Times New Roman" w:cs="Times New Roman"/>
                      <w:sz w:val="18"/>
                      <w:szCs w:val="18"/>
                      <w:lang w:val="ro-MD" w:eastAsia="en-US"/>
                    </w:rPr>
                    <w:lastRenderedPageBreak/>
                    <w:t>semnificativ determinant de risc în acea categorie de risc</w:t>
                  </w:r>
                </w:p>
              </w:tc>
            </w:tr>
            <w:tr w:rsidR="004138FD" w:rsidRPr="00EB7E01" w14:paraId="0FF25DDE" w14:textId="77777777" w:rsidTr="004138FD">
              <w:trPr>
                <w:trHeight w:val="77"/>
              </w:trPr>
              <w:tc>
                <w:tcPr>
                  <w:tcW w:w="446" w:type="dxa"/>
                  <w:vMerge/>
                </w:tcPr>
                <w:p w14:paraId="059BB9F5" w14:textId="77777777" w:rsidR="004138FD" w:rsidRPr="008070DB" w:rsidRDefault="004138FD" w:rsidP="00EB7E01">
                  <w:pPr>
                    <w:pStyle w:val="Default"/>
                    <w:framePr w:hSpace="180" w:wrap="around" w:vAnchor="text" w:hAnchor="text" w:y="1"/>
                    <w:numPr>
                      <w:ilvl w:val="0"/>
                      <w:numId w:val="31"/>
                    </w:numPr>
                    <w:ind w:firstLine="0"/>
                    <w:suppressOverlap/>
                    <w:jc w:val="both"/>
                    <w:rPr>
                      <w:rFonts w:ascii="Times New Roman" w:hAnsi="Times New Roman" w:cs="Times New Roman"/>
                      <w:sz w:val="18"/>
                      <w:szCs w:val="18"/>
                      <w:lang w:val="ro-MD" w:eastAsia="en-US"/>
                    </w:rPr>
                  </w:pPr>
                </w:p>
              </w:tc>
              <w:tc>
                <w:tcPr>
                  <w:tcW w:w="401" w:type="dxa"/>
                  <w:vMerge/>
                </w:tcPr>
                <w:p w14:paraId="4239B103" w14:textId="77777777" w:rsidR="004138FD" w:rsidRPr="008070DB" w:rsidRDefault="004138FD" w:rsidP="00EB7E01">
                  <w:pPr>
                    <w:pStyle w:val="Default"/>
                    <w:framePr w:hSpace="180" w:wrap="around" w:vAnchor="text" w:hAnchor="text" w:y="1"/>
                    <w:numPr>
                      <w:ilvl w:val="0"/>
                      <w:numId w:val="31"/>
                    </w:numPr>
                    <w:ind w:firstLine="0"/>
                    <w:suppressOverlap/>
                    <w:jc w:val="both"/>
                    <w:rPr>
                      <w:rFonts w:ascii="Times New Roman" w:hAnsi="Times New Roman" w:cs="Times New Roman"/>
                      <w:sz w:val="18"/>
                      <w:szCs w:val="18"/>
                      <w:lang w:val="ro-MD" w:eastAsia="en-US"/>
                    </w:rPr>
                  </w:pPr>
                </w:p>
              </w:tc>
              <w:tc>
                <w:tcPr>
                  <w:tcW w:w="3273" w:type="dxa"/>
                </w:tcPr>
                <w:p w14:paraId="3A48A518" w14:textId="77777777" w:rsidR="004138FD" w:rsidRPr="008070DB" w:rsidRDefault="004138FD" w:rsidP="00EB7E01">
                  <w:pPr>
                    <w:pStyle w:val="Default"/>
                    <w:framePr w:hSpace="180" w:wrap="around" w:vAnchor="text" w:hAnchor="text" w:y="1"/>
                    <w:suppressOverlap/>
                    <w:jc w:val="both"/>
                    <w:rPr>
                      <w:rFonts w:ascii="Times New Roman" w:hAnsi="Times New Roman" w:cs="Times New Roman"/>
                      <w:sz w:val="18"/>
                      <w:szCs w:val="18"/>
                      <w:lang w:val="ro-MD" w:eastAsia="en-US"/>
                    </w:rPr>
                  </w:pPr>
                  <w:r w:rsidRPr="008070DB">
                    <w:rPr>
                      <w:rFonts w:ascii="Times New Roman" w:hAnsi="Times New Roman" w:cs="Times New Roman"/>
                      <w:sz w:val="18"/>
                      <w:szCs w:val="18"/>
                      <w:lang w:val="ro-MD" w:eastAsia="en-US"/>
                    </w:rPr>
                    <w:t>– 1 dacă tranzacţia este o poziţie scurtă pe determinantul de risc principal sau cel mai semnificativ determinant de risc în acea categorie de risc</w:t>
                  </w:r>
                </w:p>
              </w:tc>
            </w:tr>
          </w:tbl>
          <w:p w14:paraId="19E4C6AD" w14:textId="032F150A"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7</w:t>
            </w:r>
            <w:r w:rsidR="004138FD" w:rsidRPr="008070DB">
              <w:rPr>
                <w:rFonts w:eastAsiaTheme="minorHAnsi"/>
                <w:b/>
                <w:bCs/>
                <w:color w:val="000000"/>
                <w:sz w:val="18"/>
                <w:szCs w:val="18"/>
                <w:lang w:val="ro-MD" w:eastAsia="en-US"/>
                <w14:ligatures w14:val="standardContextual"/>
              </w:rPr>
              <w:t>1</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În sensul prezentei secţiuni, o poziţie lungă pe determinantul de risc principal sau pe cel mai semnificativ determinant de risc într-o anumită categorie de risc pentru tranzacţiile menţionate la punctul </w:t>
            </w:r>
            <w:r w:rsidRPr="008070DB">
              <w:rPr>
                <w:rFonts w:eastAsiaTheme="minorHAnsi"/>
                <w:color w:val="000000"/>
                <w:sz w:val="18"/>
                <w:szCs w:val="18"/>
                <w:lang w:val="ro-MD" w:eastAsia="en-US"/>
                <w14:ligatures w14:val="standardContextual"/>
              </w:rPr>
              <w:t>5</w:t>
            </w:r>
            <w:r w:rsidR="004138FD" w:rsidRPr="008070DB">
              <w:rPr>
                <w:rFonts w:eastAsiaTheme="minorHAnsi"/>
                <w:color w:val="000000"/>
                <w:sz w:val="18"/>
                <w:szCs w:val="18"/>
                <w:lang w:val="ro-MD" w:eastAsia="en-US"/>
                <w14:ligatures w14:val="standardContextual"/>
              </w:rPr>
              <w:t>7</w:t>
            </w:r>
            <w:r w:rsidR="001A4DE8" w:rsidRPr="008070DB">
              <w:rPr>
                <w:rFonts w:eastAsiaTheme="minorHAnsi"/>
                <w:color w:val="000000"/>
                <w:sz w:val="18"/>
                <w:szCs w:val="18"/>
                <w:lang w:val="ro-MD" w:eastAsia="en-US"/>
                <w14:ligatures w14:val="standardContextual"/>
              </w:rPr>
              <w:t xml:space="preserve"> înseamnă că valoarea de piaţă a tranzacţiei crește atunci când valoarea determinantului de risc respectiv crește, iar o poziţie scurtă pe determinantul de risc principal sau pe cel mai semnificativ determinant de risc într-o anumită categorie de risc pentru tranzacţiile menţionate la punctul </w:t>
            </w:r>
            <w:r w:rsidRPr="008070DB">
              <w:rPr>
                <w:rFonts w:eastAsiaTheme="minorHAnsi"/>
                <w:color w:val="000000"/>
                <w:sz w:val="18"/>
                <w:szCs w:val="18"/>
                <w:lang w:val="ro-MD" w:eastAsia="en-US"/>
                <w14:ligatures w14:val="standardContextual"/>
              </w:rPr>
              <w:t>5</w:t>
            </w:r>
            <w:r w:rsidR="004138FD" w:rsidRPr="008070DB">
              <w:rPr>
                <w:rFonts w:eastAsiaTheme="minorHAnsi"/>
                <w:color w:val="000000"/>
                <w:sz w:val="18"/>
                <w:szCs w:val="18"/>
                <w:lang w:val="ro-MD" w:eastAsia="en-US"/>
                <w14:ligatures w14:val="standardContextual"/>
              </w:rPr>
              <w:t>7</w:t>
            </w:r>
            <w:r w:rsidR="001A4DE8" w:rsidRPr="008070DB">
              <w:rPr>
                <w:rFonts w:eastAsiaTheme="minorHAnsi"/>
                <w:color w:val="000000"/>
                <w:sz w:val="18"/>
                <w:szCs w:val="18"/>
                <w:lang w:val="ro-MD" w:eastAsia="en-US"/>
                <w14:ligatures w14:val="standardContextual"/>
              </w:rPr>
              <w:t xml:space="preserve"> înseamnă că valoarea de piaţă a tranzacţiei scade atunci când valoarea determinantului de risc respectiv crește. </w:t>
            </w:r>
          </w:p>
          <w:p w14:paraId="10415DBE" w14:textId="52B791B5" w:rsidR="00555E5C" w:rsidRPr="008070DB" w:rsidRDefault="00555E5C" w:rsidP="003456B0">
            <w:pPr>
              <w:autoSpaceDE w:val="0"/>
              <w:autoSpaceDN w:val="0"/>
              <w:adjustRightInd w:val="0"/>
              <w:jc w:val="both"/>
              <w:rPr>
                <w:rFonts w:eastAsiaTheme="minorHAnsi"/>
                <w:i/>
                <w:iCs/>
                <w:color w:val="000000"/>
                <w:sz w:val="18"/>
                <w:szCs w:val="18"/>
                <w:lang w:val="ro-MD" w:eastAsia="en-US"/>
                <w14:ligatures w14:val="standardContextual"/>
              </w:rPr>
            </w:pPr>
            <w:r w:rsidRPr="008070DB">
              <w:rPr>
                <w:b/>
                <w:bCs/>
                <w:i/>
                <w:iCs/>
                <w:sz w:val="18"/>
                <w:szCs w:val="18"/>
                <w:lang w:val="en-US" w:eastAsia="ro-MD"/>
              </w:rPr>
              <w:t>71</w:t>
            </w:r>
            <w:r w:rsidRPr="008070DB">
              <w:rPr>
                <w:b/>
                <w:bCs/>
                <w:i/>
                <w:iCs/>
                <w:sz w:val="18"/>
                <w:szCs w:val="18"/>
                <w:vertAlign w:val="superscript"/>
                <w:lang w:val="en-US" w:eastAsia="ro-MD"/>
              </w:rPr>
              <w:t>1</w:t>
            </w:r>
            <w:r w:rsidRPr="008070DB">
              <w:rPr>
                <w:b/>
                <w:bCs/>
                <w:i/>
                <w:iCs/>
                <w:sz w:val="18"/>
                <w:szCs w:val="18"/>
                <w:lang w:val="en-US" w:eastAsia="ro-MD"/>
              </w:rPr>
              <w:t>.</w:t>
            </w:r>
            <w:r w:rsidRPr="008070DB">
              <w:rPr>
                <w:i/>
                <w:iCs/>
                <w:sz w:val="18"/>
                <w:szCs w:val="18"/>
                <w:lang w:val="en-US" w:eastAsia="ro-MD"/>
              </w:rPr>
              <w:t xml:space="preserve"> Reglementările aferente formulelor pe care băncile le utilizează pentru a calcula delta reglementat pentru opțiunile call și put încadrate în categoria de risc de rată a dobânzii sau categoria de risc de marfă compatibilă cu condiții de piață în care ratele dobânzii sau prețurile mărfurilor pot fi negative și volatilitatea reglementată care este adecvată pentru formulele respective, precum și metoda pentru a stabili dacă o tranzacție este o poziție lungă sau scurtă pe determinantul de risc principal sau pe cel mai semnificativ determinant de risc într-o anumită</w:t>
            </w:r>
            <w:r w:rsidRPr="008070DB">
              <w:rPr>
                <w:sz w:val="18"/>
                <w:szCs w:val="18"/>
                <w:lang w:val="en-US" w:eastAsia="ro-MD"/>
              </w:rPr>
              <w:t xml:space="preserve"> </w:t>
            </w:r>
            <w:r w:rsidRPr="008070DB">
              <w:rPr>
                <w:i/>
                <w:iCs/>
                <w:sz w:val="18"/>
                <w:szCs w:val="18"/>
                <w:lang w:val="en-US" w:eastAsia="ro-MD"/>
              </w:rPr>
              <w:t>categorie de risc pentru tranzacțiile menționate la punctul 57 sunt determinate în anexa 2 la prezentul regulament</w:t>
            </w:r>
            <w:r w:rsidRPr="008070DB">
              <w:rPr>
                <w:i/>
                <w:iCs/>
                <w:sz w:val="18"/>
                <w:szCs w:val="18"/>
                <w:lang w:val="ro-MD" w:eastAsia="ro-MD"/>
              </w:rPr>
              <w:t>.</w:t>
            </w:r>
          </w:p>
          <w:p w14:paraId="7212E4F8" w14:textId="77777777" w:rsidR="002305DE" w:rsidRPr="008070DB" w:rsidRDefault="002305DE" w:rsidP="003456B0">
            <w:pPr>
              <w:autoSpaceDE w:val="0"/>
              <w:autoSpaceDN w:val="0"/>
              <w:adjustRightInd w:val="0"/>
              <w:spacing w:before="60" w:after="60"/>
              <w:jc w:val="both"/>
              <w:rPr>
                <w:rFonts w:eastAsiaTheme="minorHAnsi"/>
                <w:b/>
                <w:bCs/>
                <w:i/>
                <w:iCs/>
                <w:color w:val="000000"/>
                <w:sz w:val="18"/>
                <w:szCs w:val="18"/>
                <w:lang w:val="ro-RO" w:eastAsia="en-US"/>
                <w14:ligatures w14:val="standardContextual"/>
              </w:rPr>
            </w:pPr>
          </w:p>
          <w:p w14:paraId="59CBE5C7" w14:textId="705E3421"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 xml:space="preserve">Regulamentul nr.220/2025, </w:t>
            </w:r>
            <w:r w:rsidRPr="008070DB">
              <w:rPr>
                <w:rFonts w:eastAsiaTheme="minorHAnsi"/>
                <w:b/>
                <w:bCs/>
                <w:i/>
                <w:iCs/>
                <w:color w:val="000000"/>
                <w:sz w:val="18"/>
                <w:szCs w:val="18"/>
                <w:lang w:val="ro-RO" w:eastAsia="en-US"/>
                <w14:ligatures w14:val="standardContextual"/>
              </w:rPr>
              <w:t>cu excepția pct.</w:t>
            </w:r>
            <w:r w:rsidRPr="008070DB">
              <w:rPr>
                <w:rFonts w:eastAsiaTheme="minorHAnsi"/>
                <w:b/>
                <w:bCs/>
                <w:i/>
                <w:iCs/>
                <w:color w:val="000000"/>
                <w:sz w:val="18"/>
                <w:szCs w:val="18"/>
                <w:lang w:val="en-US" w:eastAsia="en-US"/>
                <w14:ligatures w14:val="standardContextual"/>
              </w:rPr>
              <w:t>71</w:t>
            </w:r>
            <w:r w:rsidRPr="008070DB">
              <w:rPr>
                <w:rFonts w:eastAsiaTheme="minorHAnsi"/>
                <w:b/>
                <w:bCs/>
                <w:i/>
                <w:iCs/>
                <w:color w:val="000000"/>
                <w:sz w:val="18"/>
                <w:szCs w:val="18"/>
                <w:vertAlign w:val="superscript"/>
                <w:lang w:val="en-US" w:eastAsia="en-US"/>
                <w14:ligatures w14:val="standardContextual"/>
              </w:rPr>
              <w:t>1</w:t>
            </w:r>
            <w:r w:rsidRPr="008070DB">
              <w:rPr>
                <w:rFonts w:eastAsiaTheme="minorHAnsi"/>
                <w:b/>
                <w:bCs/>
                <w:i/>
                <w:iCs/>
                <w:color w:val="000000"/>
                <w:sz w:val="18"/>
                <w:szCs w:val="18"/>
                <w:lang w:val="en-US" w:eastAsia="en-US"/>
                <w14:ligatures w14:val="standardContextual"/>
              </w:rPr>
              <w:t>.</w:t>
            </w:r>
            <w:r w:rsidRPr="008070DB">
              <w:rPr>
                <w:rFonts w:eastAsiaTheme="minorHAnsi"/>
                <w:b/>
                <w:bCs/>
                <w:i/>
                <w:iCs/>
                <w:color w:val="000000"/>
                <w:sz w:val="18"/>
                <w:szCs w:val="18"/>
                <w:lang w:val="ro-RO" w:eastAsia="en-US"/>
                <w14:ligatures w14:val="standardContextual"/>
              </w:rPr>
              <w:t xml:space="preserve"> - 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p w14:paraId="72EE0314"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tc>
        <w:tc>
          <w:tcPr>
            <w:tcW w:w="1554" w:type="dxa"/>
          </w:tcPr>
          <w:p w14:paraId="2FF909CE" w14:textId="48152F00" w:rsidR="001A4DE8" w:rsidRPr="00A96E09" w:rsidRDefault="002305DE" w:rsidP="00C14AF6">
            <w:pPr>
              <w:jc w:val="both"/>
              <w:rPr>
                <w:sz w:val="18"/>
                <w:szCs w:val="18"/>
                <w:lang w:val="ro-MD"/>
              </w:rPr>
            </w:pPr>
            <w:r>
              <w:rPr>
                <w:sz w:val="18"/>
                <w:szCs w:val="18"/>
                <w:lang w:val="ro-MD"/>
              </w:rPr>
              <w:lastRenderedPageBreak/>
              <w:t>C</w:t>
            </w:r>
            <w:r w:rsidR="001A4DE8" w:rsidRPr="00A96E09">
              <w:rPr>
                <w:sz w:val="18"/>
                <w:szCs w:val="18"/>
                <w:lang w:val="ro-MD"/>
              </w:rPr>
              <w:t xml:space="preserve">ompatibil </w:t>
            </w:r>
          </w:p>
        </w:tc>
        <w:tc>
          <w:tcPr>
            <w:tcW w:w="4683" w:type="dxa"/>
            <w:tcBorders>
              <w:top w:val="single" w:sz="4" w:space="0" w:color="auto"/>
              <w:bottom w:val="single" w:sz="4" w:space="0" w:color="auto"/>
            </w:tcBorders>
          </w:tcPr>
          <w:p w14:paraId="350FA150" w14:textId="6FB8DB87" w:rsidR="001A4DE8" w:rsidRPr="00A96E09" w:rsidRDefault="001A4DE8" w:rsidP="00C14AF6">
            <w:pPr>
              <w:rPr>
                <w:sz w:val="18"/>
                <w:szCs w:val="18"/>
                <w:lang w:val="ro-MD"/>
              </w:rPr>
            </w:pPr>
          </w:p>
        </w:tc>
      </w:tr>
      <w:tr w:rsidR="001A4DE8" w:rsidRPr="00A96E09" w14:paraId="6D2A14F5" w14:textId="77777777" w:rsidTr="00C14AF6">
        <w:trPr>
          <w:trHeight w:val="918"/>
        </w:trPr>
        <w:tc>
          <w:tcPr>
            <w:tcW w:w="3866" w:type="dxa"/>
          </w:tcPr>
          <w:p w14:paraId="46806651" w14:textId="40EB6D88" w:rsidR="001A4DE8" w:rsidRPr="00A96E09" w:rsidRDefault="001A4DE8" w:rsidP="003456B0">
            <w:pPr>
              <w:pStyle w:val="CM4"/>
              <w:spacing w:before="60" w:after="60"/>
              <w:jc w:val="both"/>
              <w:rPr>
                <w:rFonts w:ascii="Times New Roman" w:hAnsi="Times New Roman"/>
                <w:color w:val="000000"/>
                <w:sz w:val="18"/>
                <w:szCs w:val="18"/>
                <w:lang w:val="ro-MD"/>
              </w:rPr>
            </w:pPr>
            <w:r w:rsidRPr="00A96E09">
              <w:rPr>
                <w:rFonts w:ascii="Times New Roman" w:hAnsi="Times New Roman"/>
                <w:i/>
                <w:iCs/>
                <w:color w:val="000000"/>
                <w:sz w:val="18"/>
                <w:szCs w:val="18"/>
                <w:lang w:val="ro-MD"/>
              </w:rPr>
              <w:lastRenderedPageBreak/>
              <w:t xml:space="preserve">Articolul 279b </w:t>
            </w:r>
            <w:r w:rsidRPr="00A96E09">
              <w:rPr>
                <w:rFonts w:ascii="Times New Roman" w:hAnsi="Times New Roman"/>
                <w:b/>
                <w:bCs/>
                <w:color w:val="000000"/>
                <w:sz w:val="18"/>
                <w:szCs w:val="18"/>
                <w:lang w:val="ro-MD"/>
              </w:rPr>
              <w:t>Valoarea noţională ajustată</w:t>
            </w:r>
          </w:p>
          <w:p w14:paraId="46E202CC" w14:textId="77777777" w:rsidR="001A4DE8" w:rsidRPr="00A96E09" w:rsidRDefault="001A4DE8" w:rsidP="003456B0">
            <w:pPr>
              <w:pStyle w:val="CM4"/>
              <w:spacing w:before="60" w:after="60"/>
              <w:jc w:val="both"/>
              <w:rPr>
                <w:rFonts w:ascii="Times New Roman" w:hAnsi="Times New Roman"/>
                <w:color w:val="000000"/>
                <w:sz w:val="18"/>
                <w:szCs w:val="18"/>
                <w:lang w:val="ro-MD"/>
              </w:rPr>
            </w:pPr>
            <w:r w:rsidRPr="00A96E09">
              <w:rPr>
                <w:rFonts w:ascii="Times New Roman" w:hAnsi="Times New Roman"/>
                <w:color w:val="000000"/>
                <w:sz w:val="18"/>
                <w:szCs w:val="18"/>
                <w:lang w:val="ro-MD"/>
              </w:rPr>
              <w:t xml:space="preserve">(1) Instituţiile calculează valoarea noţională ajustată după cum urmează: </w:t>
            </w:r>
          </w:p>
          <w:p w14:paraId="67922FFD"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lastRenderedPageBreak/>
              <w:t xml:space="preserve">(a) pentru tranzacţiile încadrate în categoria de risc de rată a dobânzii sau în categoria de risc de credit, instituţiile calculează valoarea noţională ajustată ca fiind produsul dintre valoarea noţională a contractului derivat și factorul duratei impus de autorităţile de supraveghere, care se calculează după cum urmează: </w:t>
            </w:r>
            <w:r w:rsidRPr="00A96E09">
              <w:rPr>
                <w:rFonts w:ascii="Times New Roman" w:hAnsi="Times New Roman"/>
                <w:b/>
                <w:bCs/>
                <w:color w:val="000000"/>
                <w:sz w:val="18"/>
                <w:szCs w:val="18"/>
              </w:rPr>
              <w:t xml:space="preserve">▼C7 </w:t>
            </w:r>
          </w:p>
          <w:p w14:paraId="6E47DB9E"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63B5CB84" wp14:editId="504D776B">
                  <wp:extent cx="2768947" cy="439948"/>
                  <wp:effectExtent l="0" t="0" r="0" b="0"/>
                  <wp:docPr id="472652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67083" cy="519095"/>
                          </a:xfrm>
                          <a:prstGeom prst="rect">
                            <a:avLst/>
                          </a:prstGeom>
                          <a:noFill/>
                          <a:ln>
                            <a:noFill/>
                          </a:ln>
                        </pic:spPr>
                      </pic:pic>
                    </a:graphicData>
                  </a:graphic>
                </wp:inline>
              </w:drawing>
            </w:r>
          </w:p>
          <w:p w14:paraId="55C12D0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6EE8CC9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 = rata de actualizare impusă de autorităţile de supraveghere; R = </w:t>
            </w:r>
            <w:proofErr w:type="gramStart"/>
            <w:r w:rsidRPr="00A96E09">
              <w:rPr>
                <w:rFonts w:ascii="Times New Roman" w:hAnsi="Times New Roman"/>
                <w:color w:val="000000"/>
                <w:sz w:val="18"/>
                <w:szCs w:val="18"/>
              </w:rPr>
              <w:t>5 %;</w:t>
            </w:r>
            <w:proofErr w:type="gramEnd"/>
          </w:p>
          <w:p w14:paraId="73FDAA6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S = perioada de timp dintre data de începere a unei tranzacţii și data raportării, care este exprimată în ani, utilizând convenţia privind zilele lucrătoare </w:t>
            </w:r>
            <w:proofErr w:type="gramStart"/>
            <w:r w:rsidRPr="00A96E09">
              <w:rPr>
                <w:rFonts w:ascii="Times New Roman" w:hAnsi="Times New Roman"/>
                <w:color w:val="000000"/>
                <w:sz w:val="18"/>
                <w:szCs w:val="18"/>
              </w:rPr>
              <w:t>relevantă;</w:t>
            </w:r>
            <w:proofErr w:type="gramEnd"/>
            <w:r w:rsidRPr="00A96E09">
              <w:rPr>
                <w:rFonts w:ascii="Times New Roman" w:hAnsi="Times New Roman"/>
                <w:color w:val="000000"/>
                <w:sz w:val="18"/>
                <w:szCs w:val="18"/>
              </w:rPr>
              <w:t xml:space="preserve"> </w:t>
            </w:r>
          </w:p>
          <w:p w14:paraId="657EFA7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E = perioada dintre data de încetare a unei tranzacţii și data raportării, care este exprimată în ani, utilizând convenţia privind zilele lucrătoare relevantă; și un exerciţiu financiar (OneBusinessYear) = un an exprimat în zile lucrătoare utilizând convenţia privind zilele lucrătoare relevantă. </w:t>
            </w:r>
          </w:p>
          <w:p w14:paraId="535BD1B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Data de începere a unei tranzacţii este prima dată la care este fie stabilită, fie efectuată cel puţin o plată contractuală în cadrul tranzacţiei, către instituţie sau din partea instituţiei, alta decât plăţile legate de schimbul de garanţii reale din cadrul unui contract în marjă. În cazul în care tranzacţia a început deja să stabilească sau să efectueze plăţi la data raportării, data de începere a unei tranzacţii este egală cu 0. </w:t>
            </w:r>
          </w:p>
          <w:p w14:paraId="0488560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implică una sau mai multe date contractuale viitoare la care instituţia sau contrapartea poate decide să pună capăt tranzacţiei înainte de scadenţa contractuală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w:t>
            </w:r>
            <w:r w:rsidRPr="00A96E09">
              <w:rPr>
                <w:rFonts w:ascii="Times New Roman" w:hAnsi="Times New Roman"/>
                <w:color w:val="000000"/>
                <w:sz w:val="18"/>
                <w:szCs w:val="18"/>
              </w:rPr>
              <w:lastRenderedPageBreak/>
              <w:t xml:space="preserve">acesteia, data de începere a unei tranzacţii este egală cu prima dintre următoarele: </w:t>
            </w:r>
          </w:p>
          <w:p w14:paraId="7D5A405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data sau prima dintre datele viitoare multiple la care instituţia sau contrapartea poate decide să pună capăt tranzacţiei înainte de scadenţa contractuală a </w:t>
            </w:r>
            <w:proofErr w:type="gramStart"/>
            <w:r w:rsidRPr="00A96E09">
              <w:rPr>
                <w:rFonts w:ascii="Times New Roman" w:hAnsi="Times New Roman"/>
                <w:color w:val="000000"/>
                <w:sz w:val="18"/>
                <w:szCs w:val="18"/>
              </w:rPr>
              <w:t>acesteia;</w:t>
            </w:r>
            <w:proofErr w:type="gramEnd"/>
            <w:r w:rsidRPr="00A96E09">
              <w:rPr>
                <w:rFonts w:ascii="Times New Roman" w:hAnsi="Times New Roman"/>
                <w:color w:val="000000"/>
                <w:sz w:val="18"/>
                <w:szCs w:val="18"/>
              </w:rPr>
              <w:t xml:space="preserve"> </w:t>
            </w:r>
          </w:p>
          <w:p w14:paraId="0A63EB2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data la care o tranzacţie începe să stabilească sau să efectueze plăţi, altele decât plăţile legate de schimbul de garanţii reale din cadrul unui contract în marjă. </w:t>
            </w:r>
          </w:p>
          <w:p w14:paraId="3640256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are ca instrument-suport un instrument financiar care poate da naștere unor obligaţii contractuale suplimentare faţă de cele care decurg din tranzacţie, data de începere a unei tranzacţii se determină pe baza primei date la care instrumentul-suport începe stabilirea sau efectuarea plăţilor. </w:t>
            </w:r>
          </w:p>
          <w:p w14:paraId="55E8E1F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Data de încetare a unei tranzacţii este ultima dată la care este efectuată sau poate fi efectuată o plată contractuală în cadrul tranzacţiei, către sau din partea instituţiei. </w:t>
            </w:r>
          </w:p>
          <w:p w14:paraId="6232E93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are ca instrument-suport un instrument financiar care poate da naștere unor obligaţii contractuale suplimentare faţă de cele care decurg din tranzacţie, data de încetare a unei tranzacţii se determină pe baza ultimei plăţi contractuale aferente instrumentului-suport al tranzacţiei. </w:t>
            </w:r>
          </w:p>
          <w:p w14:paraId="5629232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este structurată astfel încât o expunere rămasă de rambursat să fie decontată după anumite date de plată specificate și termenii sunt revizuiţi astfel încât valoarea de piaţă a tranzacţiei să fie zero la datele specificate respective, decontarea expunerii rămase de rambursat la aceste date specificate este considerată plată contractuală în cadrul aceleiași </w:t>
            </w:r>
            <w:proofErr w:type="gramStart"/>
            <w:r w:rsidRPr="00A96E09">
              <w:rPr>
                <w:rFonts w:ascii="Times New Roman" w:hAnsi="Times New Roman"/>
                <w:color w:val="000000"/>
                <w:sz w:val="18"/>
                <w:szCs w:val="18"/>
              </w:rPr>
              <w:t>tranzacţii;</w:t>
            </w:r>
            <w:proofErr w:type="gramEnd"/>
            <w:r w:rsidRPr="00A96E09">
              <w:rPr>
                <w:rFonts w:ascii="Times New Roman" w:hAnsi="Times New Roman"/>
                <w:color w:val="000000"/>
                <w:sz w:val="18"/>
                <w:szCs w:val="18"/>
              </w:rPr>
              <w:t xml:space="preserve"> </w:t>
            </w:r>
          </w:p>
          <w:p w14:paraId="0335FF3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(b) în cazul tranzacţiilor încadrate în categoria de risc valutar, instituţiile calculează valoarea noţională ajustată după cum urmează: </w:t>
            </w:r>
          </w:p>
          <w:p w14:paraId="498C7A0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în cazul în care tranzacţia este formată dintr-un segment de plată, valoarea noţională ajustată este valoarea noţională a contractului </w:t>
            </w:r>
            <w:proofErr w:type="gramStart"/>
            <w:r w:rsidRPr="00A96E09">
              <w:rPr>
                <w:rFonts w:ascii="Times New Roman" w:hAnsi="Times New Roman"/>
                <w:color w:val="000000"/>
                <w:sz w:val="18"/>
                <w:szCs w:val="18"/>
              </w:rPr>
              <w:t>derivat;</w:t>
            </w:r>
            <w:proofErr w:type="gramEnd"/>
            <w:r w:rsidRPr="00A96E09">
              <w:rPr>
                <w:rFonts w:ascii="Times New Roman" w:hAnsi="Times New Roman"/>
                <w:color w:val="000000"/>
                <w:sz w:val="18"/>
                <w:szCs w:val="18"/>
              </w:rPr>
              <w:t xml:space="preserve"> </w:t>
            </w:r>
          </w:p>
          <w:p w14:paraId="2D316BD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în cazul în care tranzacţia este formată din două segmente de plată, iar valoarea noţională a unui segment de plată este denominată în moneda de raportare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instituţiei, valoarea noţională ajustată este valoarea noţională a celuilalt segment de </w:t>
            </w:r>
            <w:proofErr w:type="gramStart"/>
            <w:r w:rsidRPr="00A96E09">
              <w:rPr>
                <w:rFonts w:ascii="Times New Roman" w:hAnsi="Times New Roman"/>
                <w:color w:val="000000"/>
                <w:sz w:val="18"/>
                <w:szCs w:val="18"/>
              </w:rPr>
              <w:t>plată;</w:t>
            </w:r>
            <w:proofErr w:type="gramEnd"/>
            <w:r w:rsidRPr="00A96E09">
              <w:rPr>
                <w:rFonts w:ascii="Times New Roman" w:hAnsi="Times New Roman"/>
                <w:color w:val="000000"/>
                <w:sz w:val="18"/>
                <w:szCs w:val="18"/>
              </w:rPr>
              <w:t xml:space="preserve"> </w:t>
            </w:r>
          </w:p>
          <w:p w14:paraId="5C02915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(iii) în cazul în care tranzacţia este formată din două segmente de plată, iar valoarea noţională a fiecărui segment de plată este denominată într-o altă monedă decât moneda de raportare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instituţiei, valoarea noţională ajustată este cea mai mare dintre valorile noţionale ale celor două segmente de plată după ce valorile respective au fost convertite în moneda de raportare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instituţiei la cursul de schimb la vedere </w:t>
            </w:r>
            <w:proofErr w:type="gramStart"/>
            <w:r w:rsidRPr="00A96E09">
              <w:rPr>
                <w:rFonts w:ascii="Times New Roman" w:hAnsi="Times New Roman"/>
                <w:color w:val="000000"/>
                <w:sz w:val="18"/>
                <w:szCs w:val="18"/>
              </w:rPr>
              <w:t>predominant;</w:t>
            </w:r>
            <w:proofErr w:type="gramEnd"/>
            <w:r w:rsidRPr="00A96E09">
              <w:rPr>
                <w:rFonts w:ascii="Times New Roman" w:hAnsi="Times New Roman"/>
                <w:color w:val="000000"/>
                <w:sz w:val="18"/>
                <w:szCs w:val="18"/>
              </w:rPr>
              <w:t xml:space="preserve"> </w:t>
            </w:r>
          </w:p>
          <w:p w14:paraId="698E6A9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(c) pentru tranzacţiile încadrate în categoria de risc privind titlurile de capital sau de risc de marfă, instituţiile calculează valoarea noţională ajustată ca fiind produsul dintre preţul de piaţă al unei unităţi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instrumentului-suport al tranzacţiei și numărul de unităţi ale instrumentului-suport la care se raportează </w:t>
            </w:r>
            <w:proofErr w:type="gramStart"/>
            <w:r w:rsidRPr="00A96E09">
              <w:rPr>
                <w:rFonts w:ascii="Times New Roman" w:hAnsi="Times New Roman"/>
                <w:color w:val="000000"/>
                <w:sz w:val="18"/>
                <w:szCs w:val="18"/>
              </w:rPr>
              <w:t>tranzacţia;</w:t>
            </w:r>
            <w:proofErr w:type="gramEnd"/>
            <w:r w:rsidRPr="00A96E09">
              <w:rPr>
                <w:rFonts w:ascii="Times New Roman" w:hAnsi="Times New Roman"/>
                <w:color w:val="000000"/>
                <w:sz w:val="18"/>
                <w:szCs w:val="18"/>
              </w:rPr>
              <w:t xml:space="preserve"> </w:t>
            </w:r>
          </w:p>
          <w:p w14:paraId="179C986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încadrată în categoria de risc privind titlurile de capital sau de risc de marfă este exprimată prin contract ca o valoare noţională, instituţiile utilizează valoarea noţională a tranzacţiei, și nu numărul de unităţi ale instrumentului-suport, ca valoare noţională </w:t>
            </w:r>
            <w:proofErr w:type="gramStart"/>
            <w:r w:rsidRPr="00A96E09">
              <w:rPr>
                <w:rFonts w:ascii="Times New Roman" w:hAnsi="Times New Roman"/>
                <w:color w:val="000000"/>
                <w:sz w:val="18"/>
                <w:szCs w:val="18"/>
              </w:rPr>
              <w:t>ajustată;</w:t>
            </w:r>
            <w:proofErr w:type="gramEnd"/>
            <w:r w:rsidRPr="00A96E09">
              <w:rPr>
                <w:rFonts w:ascii="Times New Roman" w:hAnsi="Times New Roman"/>
                <w:color w:val="000000"/>
                <w:sz w:val="18"/>
                <w:szCs w:val="18"/>
              </w:rPr>
              <w:t xml:space="preserve"> </w:t>
            </w:r>
          </w:p>
          <w:p w14:paraId="6D8F3D9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(d) pentru tranzacţiile încadrate în categoria „alte riscuri”, instituţiile calculează valoarea noţională ajustată pe baza metodei celei mai adecvate dintre metodele menţionate la literele (a), (b) și (c), în </w:t>
            </w:r>
            <w:r w:rsidRPr="00A96E09">
              <w:rPr>
                <w:rFonts w:ascii="Times New Roman" w:hAnsi="Times New Roman"/>
                <w:color w:val="000000"/>
                <w:sz w:val="18"/>
                <w:szCs w:val="18"/>
              </w:rPr>
              <w:lastRenderedPageBreak/>
              <w:t xml:space="preserve">funcţie de natura și caracteristicile instrumentului-suport al tranzacţiei. </w:t>
            </w:r>
          </w:p>
          <w:p w14:paraId="2B3AE76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În scopul calculării valorii noţionale ajustate a unei tranzacţii menţionate la alineatul (1), instituţiile determină valoarea noţională sau numărul de unităţi ale instrumentului-suport după cum urmează: </w:t>
            </w:r>
          </w:p>
          <w:p w14:paraId="0DCD408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 în cazul în care valoarea noţională sau numărul de unităţi ale instrumentului-suport al unei tranzacţii nu este stabilit până la scadenţa contractuală: </w:t>
            </w:r>
          </w:p>
          <w:p w14:paraId="16304AA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pentru valori deterministe ale valorilor noţionale și ale numărului de unităţi ale instrumentului-suport, valoarea noţională este media ponderată a tuturor valorilor deterministe ale valorilor noţionale sau ale numărului de unităţi ale instrumentului-suport, după caz, până la scadenţa contractuală a tranzacţiei, ponderile fiind date de proporţia din perioada de timp în care se aplică fiecare valoare </w:t>
            </w:r>
            <w:proofErr w:type="gramStart"/>
            <w:r w:rsidRPr="00A96E09">
              <w:rPr>
                <w:rFonts w:ascii="Times New Roman" w:hAnsi="Times New Roman"/>
                <w:color w:val="000000"/>
                <w:sz w:val="18"/>
                <w:szCs w:val="18"/>
              </w:rPr>
              <w:t>noţională;</w:t>
            </w:r>
            <w:proofErr w:type="gramEnd"/>
            <w:r w:rsidRPr="00A96E09">
              <w:rPr>
                <w:rFonts w:ascii="Times New Roman" w:hAnsi="Times New Roman"/>
                <w:color w:val="000000"/>
                <w:sz w:val="18"/>
                <w:szCs w:val="18"/>
              </w:rPr>
              <w:t xml:space="preserve"> </w:t>
            </w:r>
          </w:p>
          <w:p w14:paraId="55AD1F4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pentru valori stocastice ale valorilor noţionale și ale numărului de unităţi ale instrumentului-suport, valoarea noţională este valoarea determinată prin stabilirea valorilor curente de piaţă în formula de calcul al valorilor de piaţă </w:t>
            </w:r>
            <w:proofErr w:type="gramStart"/>
            <w:r w:rsidRPr="00A96E09">
              <w:rPr>
                <w:rFonts w:ascii="Times New Roman" w:hAnsi="Times New Roman"/>
                <w:color w:val="000000"/>
                <w:sz w:val="18"/>
                <w:szCs w:val="18"/>
              </w:rPr>
              <w:t>viitoare;</w:t>
            </w:r>
            <w:proofErr w:type="gramEnd"/>
            <w:r w:rsidRPr="00A96E09">
              <w:rPr>
                <w:rFonts w:ascii="Times New Roman" w:hAnsi="Times New Roman"/>
                <w:color w:val="000000"/>
                <w:sz w:val="18"/>
                <w:szCs w:val="18"/>
              </w:rPr>
              <w:t xml:space="preserve"> </w:t>
            </w:r>
          </w:p>
          <w:p w14:paraId="6D9566C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în cazul contractelor care presupun schimburi multiple ale valorii noţionale, aceasta se înmulţește cu numărul plăţilor care mai rămân de efectuat conform </w:t>
            </w:r>
            <w:proofErr w:type="gramStart"/>
            <w:r w:rsidRPr="00A96E09">
              <w:rPr>
                <w:rFonts w:ascii="Times New Roman" w:hAnsi="Times New Roman"/>
                <w:color w:val="000000"/>
                <w:sz w:val="18"/>
                <w:szCs w:val="18"/>
              </w:rPr>
              <w:t>contractelor;</w:t>
            </w:r>
            <w:proofErr w:type="gramEnd"/>
            <w:r w:rsidRPr="00A96E09">
              <w:rPr>
                <w:rFonts w:ascii="Times New Roman" w:hAnsi="Times New Roman"/>
                <w:color w:val="000000"/>
                <w:sz w:val="18"/>
                <w:szCs w:val="18"/>
              </w:rPr>
              <w:t xml:space="preserve"> </w:t>
            </w:r>
          </w:p>
          <w:p w14:paraId="1795539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(c) în cazul contractelor care prevăd o multiplicare a plăţilor aferente fluxurilor de numerar sau o multiplicare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instrumentului-suport al contractului derivat, instituţia ajustează valoarea noţională pentru a reflecta efectele multiplicării asupra structurii de risc a contractelor respective. </w:t>
            </w:r>
          </w:p>
          <w:p w14:paraId="6E3250C0" w14:textId="56B4733D"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color w:val="000000"/>
                <w:sz w:val="18"/>
                <w:szCs w:val="18"/>
              </w:rPr>
              <w:t xml:space="preserve">(3) Instituţiile convertesc valoarea noţională ajustată a unei tranzacţii în moneda lor de raportare la cursul de schimb la vedere predominant în cazul </w:t>
            </w:r>
            <w:r w:rsidRPr="00A96E09">
              <w:rPr>
                <w:rFonts w:ascii="Times New Roman" w:hAnsi="Times New Roman"/>
                <w:color w:val="000000"/>
                <w:sz w:val="18"/>
                <w:szCs w:val="18"/>
              </w:rPr>
              <w:lastRenderedPageBreak/>
              <w:t xml:space="preserve">în care valoarea noţională ajustată este calculată în conformitate cu prezentul articol pornind de la o valoare noţională contractuală sau de la un preţ de piaţă al numărului de unităţi ale instrumentului-suport denominat într-o altă monedă. </w:t>
            </w:r>
          </w:p>
        </w:tc>
        <w:tc>
          <w:tcPr>
            <w:tcW w:w="4356" w:type="dxa"/>
          </w:tcPr>
          <w:p w14:paraId="46EB365D" w14:textId="07C6E916" w:rsidR="001A4DE8" w:rsidRPr="008070DB" w:rsidRDefault="001A4DE8" w:rsidP="003456B0">
            <w:pPr>
              <w:pStyle w:val="CM4"/>
              <w:spacing w:before="60" w:after="60"/>
              <w:ind w:firstLine="567"/>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 xml:space="preserve">Secțiunea </w:t>
            </w:r>
            <w:proofErr w:type="gramStart"/>
            <w:r w:rsidRPr="008070DB">
              <w:rPr>
                <w:rFonts w:ascii="Times New Roman" w:hAnsi="Times New Roman"/>
                <w:i/>
                <w:iCs/>
                <w:color w:val="000000"/>
                <w:sz w:val="18"/>
                <w:szCs w:val="18"/>
              </w:rPr>
              <w:t>a</w:t>
            </w:r>
            <w:proofErr w:type="gramEnd"/>
            <w:r w:rsidRPr="008070DB">
              <w:rPr>
                <w:rFonts w:ascii="Times New Roman" w:hAnsi="Times New Roman"/>
                <w:i/>
                <w:iCs/>
                <w:color w:val="000000"/>
                <w:sz w:val="18"/>
                <w:szCs w:val="18"/>
              </w:rPr>
              <w:t xml:space="preserve"> 8-a </w:t>
            </w:r>
          </w:p>
          <w:p w14:paraId="4891563E" w14:textId="77777777" w:rsidR="001A4DE8" w:rsidRPr="008070DB" w:rsidRDefault="001A4DE8" w:rsidP="003456B0">
            <w:pPr>
              <w:pStyle w:val="Default"/>
              <w:ind w:firstLine="567"/>
              <w:jc w:val="both"/>
              <w:rPr>
                <w:rFonts w:ascii="Times New Roman" w:hAnsi="Times New Roman" w:cs="Times New Roman"/>
                <w:b/>
                <w:bCs/>
                <w:sz w:val="18"/>
                <w:szCs w:val="18"/>
              </w:rPr>
            </w:pPr>
            <w:r w:rsidRPr="008070DB">
              <w:rPr>
                <w:rFonts w:ascii="Times New Roman" w:hAnsi="Times New Roman" w:cs="Times New Roman"/>
                <w:b/>
                <w:bCs/>
                <w:sz w:val="18"/>
                <w:szCs w:val="18"/>
              </w:rPr>
              <w:t>Valoarea noţională ajustată</w:t>
            </w:r>
          </w:p>
          <w:p w14:paraId="0AA654CE" w14:textId="77E24C3D"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7</w:t>
            </w:r>
            <w:r w:rsidR="00ED5C7A" w:rsidRPr="008070DB">
              <w:rPr>
                <w:rFonts w:eastAsiaTheme="minorHAnsi"/>
                <w:b/>
                <w:bCs/>
                <w:color w:val="000000"/>
                <w:sz w:val="18"/>
                <w:szCs w:val="18"/>
                <w:lang w:val="ro-MD" w:eastAsia="en-US"/>
                <w14:ligatures w14:val="standardContextual"/>
              </w:rPr>
              <w:t>2</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valoarea noţională ajustată după cum urmează: </w:t>
            </w:r>
          </w:p>
          <w:p w14:paraId="2A1012DE" w14:textId="23A911B4"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lastRenderedPageBreak/>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1</w:t>
            </w:r>
            <w:r w:rsidR="00B67C56"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pentru tranzacţiile încadrate în categoria de risc de rată a dobânzii sau în categoria de risc de credit, băncile calculează valoarea noţională ajustată ca fiind produsul dintre valoarea noţională a contractului derivat și factorul duratei </w:t>
            </w:r>
            <w:r w:rsidR="001640E9" w:rsidRPr="008070DB">
              <w:rPr>
                <w:rFonts w:eastAsiaTheme="minorHAnsi"/>
                <w:color w:val="000000"/>
                <w:sz w:val="18"/>
                <w:szCs w:val="18"/>
                <w:lang w:val="ro-MD" w:eastAsia="en-US"/>
                <w14:ligatures w14:val="standardContextual"/>
              </w:rPr>
              <w:t>satbilite</w:t>
            </w:r>
            <w:r w:rsidR="001A4DE8" w:rsidRPr="008070DB">
              <w:rPr>
                <w:rFonts w:eastAsiaTheme="minorHAnsi"/>
                <w:color w:val="000000"/>
                <w:sz w:val="18"/>
                <w:szCs w:val="18"/>
                <w:lang w:val="ro-MD" w:eastAsia="en-US"/>
                <w14:ligatures w14:val="standardContextual"/>
              </w:rPr>
              <w:t xml:space="preserve"> de Banca Națională a Moldovei, care se calculează după cum urmează: </w:t>
            </w:r>
          </w:p>
          <w:p w14:paraId="042B9F9C" w14:textId="77777777" w:rsidR="00B606C5" w:rsidRPr="008070DB" w:rsidRDefault="00B606C5" w:rsidP="003456B0">
            <w:pPr>
              <w:pStyle w:val="Default"/>
              <w:ind w:firstLine="426"/>
              <w:jc w:val="both"/>
              <w:rPr>
                <w:sz w:val="18"/>
                <w:szCs w:val="18"/>
              </w:rPr>
            </w:pPr>
            <w:r w:rsidRPr="008070DB">
              <w:rPr>
                <w:sz w:val="18"/>
                <w:szCs w:val="18"/>
              </w:rPr>
              <w:t xml:space="preserve">Factorul duratei stabilit de BNM = </w:t>
            </w:r>
          </w:p>
          <w:p w14:paraId="7164B791" w14:textId="6A9C2B07" w:rsidR="00B606C5" w:rsidRPr="008070DB" w:rsidRDefault="00B606C5" w:rsidP="003456B0">
            <w:pPr>
              <w:pStyle w:val="Default"/>
              <w:ind w:firstLine="426"/>
              <w:jc w:val="both"/>
              <w:rPr>
                <w:sz w:val="18"/>
                <w:szCs w:val="18"/>
              </w:rPr>
            </w:pPr>
            <w:r w:rsidRPr="008070DB">
              <w:rPr>
                <w:sz w:val="18"/>
                <w:szCs w:val="18"/>
              </w:rPr>
              <w:t>max {</w:t>
            </w:r>
            <m:oMath>
              <m:f>
                <m:fPr>
                  <m:ctrlPr>
                    <w:rPr>
                      <w:rFonts w:ascii="Cambria Math" w:hAnsi="Cambria Math"/>
                      <w:sz w:val="18"/>
                      <w:szCs w:val="18"/>
                    </w:rPr>
                  </m:ctrlPr>
                </m:fPr>
                <m:num>
                  <m:func>
                    <m:funcPr>
                      <m:ctrlPr>
                        <w:rPr>
                          <w:rFonts w:ascii="Cambria Math" w:hAnsi="Cambria Math"/>
                          <w:i/>
                          <w:sz w:val="18"/>
                          <w:szCs w:val="18"/>
                        </w:rPr>
                      </m:ctrlPr>
                    </m:funcPr>
                    <m:fName>
                      <m:r>
                        <m:rPr>
                          <m:sty m:val="p"/>
                        </m:rPr>
                        <w:rPr>
                          <w:rFonts w:ascii="Cambria Math" w:hAnsi="Cambria Math"/>
                          <w:sz w:val="18"/>
                          <w:szCs w:val="18"/>
                        </w:rPr>
                        <m:t>exp</m:t>
                      </m:r>
                    </m:fName>
                    <m:e>
                      <m:d>
                        <m:dPr>
                          <m:ctrlPr>
                            <w:rPr>
                              <w:rFonts w:ascii="Cambria Math" w:hAnsi="Cambria Math"/>
                              <w:i/>
                              <w:sz w:val="18"/>
                              <w:szCs w:val="18"/>
                            </w:rPr>
                          </m:ctrlPr>
                        </m:dPr>
                        <m:e>
                          <m:r>
                            <w:rPr>
                              <w:rFonts w:ascii="Cambria Math" w:hAnsi="Cambria Math"/>
                              <w:sz w:val="18"/>
                              <w:szCs w:val="18"/>
                            </w:rPr>
                            <m:t>-R*S</m:t>
                          </m:r>
                        </m:e>
                      </m:d>
                    </m:e>
                  </m:func>
                  <m:r>
                    <w:rPr>
                      <w:rFonts w:ascii="Cambria Math" w:hAnsi="Cambria Math"/>
                      <w:sz w:val="18"/>
                      <w:szCs w:val="18"/>
                    </w:rPr>
                    <m:t>-</m:t>
                  </m:r>
                  <m:func>
                    <m:funcPr>
                      <m:ctrlPr>
                        <w:rPr>
                          <w:rFonts w:ascii="Cambria Math" w:hAnsi="Cambria Math"/>
                          <w:i/>
                          <w:sz w:val="18"/>
                          <w:szCs w:val="18"/>
                        </w:rPr>
                      </m:ctrlPr>
                    </m:funcPr>
                    <m:fName>
                      <m:r>
                        <m:rPr>
                          <m:sty m:val="p"/>
                        </m:rPr>
                        <w:rPr>
                          <w:rFonts w:ascii="Cambria Math" w:hAnsi="Cambria Math"/>
                          <w:sz w:val="18"/>
                          <w:szCs w:val="18"/>
                        </w:rPr>
                        <m:t>exp</m:t>
                      </m:r>
                    </m:fName>
                    <m:e>
                      <m:r>
                        <w:rPr>
                          <w:rFonts w:ascii="Cambria Math" w:hAnsi="Cambria Math"/>
                          <w:sz w:val="18"/>
                          <w:szCs w:val="18"/>
                        </w:rPr>
                        <m:t>(-R*E)</m:t>
                      </m:r>
                    </m:e>
                  </m:func>
                </m:num>
                <m:den>
                  <m:r>
                    <m:rPr>
                      <m:sty m:val="p"/>
                    </m:rPr>
                    <w:rPr>
                      <w:rFonts w:ascii="Cambria Math" w:hAnsi="Cambria Math"/>
                      <w:sz w:val="18"/>
                      <w:szCs w:val="18"/>
                    </w:rPr>
                    <m:t>R</m:t>
                  </m:r>
                </m:den>
              </m:f>
            </m:oMath>
            <w:r w:rsidRPr="008070DB">
              <w:rPr>
                <w:sz w:val="18"/>
                <w:szCs w:val="18"/>
              </w:rPr>
              <w:t>; 10/un exercițiu financiar}</w:t>
            </w:r>
          </w:p>
          <w:p w14:paraId="21F81AB8" w14:textId="77777777" w:rsidR="001A4DE8" w:rsidRPr="008070DB" w:rsidRDefault="001A4DE8" w:rsidP="003456B0">
            <w:pPr>
              <w:pStyle w:val="Default"/>
              <w:ind w:firstLine="567"/>
              <w:jc w:val="both"/>
              <w:rPr>
                <w:rFonts w:ascii="Times New Roman" w:hAnsi="Times New Roman" w:cs="Times New Roman"/>
                <w:sz w:val="18"/>
                <w:szCs w:val="18"/>
              </w:rPr>
            </w:pPr>
            <w:r w:rsidRPr="008070DB">
              <w:rPr>
                <w:rFonts w:ascii="Times New Roman" w:hAnsi="Times New Roman" w:cs="Times New Roman"/>
                <w:sz w:val="18"/>
                <w:szCs w:val="18"/>
              </w:rPr>
              <w:t xml:space="preserve"> </w:t>
            </w:r>
          </w:p>
          <w:p w14:paraId="4625C1D6" w14:textId="77777777" w:rsidR="001A4DE8" w:rsidRPr="008070DB" w:rsidRDefault="001A4DE8" w:rsidP="003456B0">
            <w:pPr>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16A35760" w14:textId="42CA7C7B"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R = rata de </w:t>
            </w:r>
            <w:r w:rsidR="00B606C5" w:rsidRPr="008070DB">
              <w:rPr>
                <w:rFonts w:eastAsiaTheme="minorHAnsi"/>
                <w:color w:val="000000"/>
                <w:sz w:val="18"/>
                <w:szCs w:val="18"/>
                <w:lang w:val="ro-MD" w:eastAsia="en-US"/>
                <w14:ligatures w14:val="standardContextual"/>
              </w:rPr>
              <w:t xml:space="preserve">actualizare, </w:t>
            </w:r>
            <w:r w:rsidRPr="008070DB">
              <w:rPr>
                <w:rFonts w:eastAsiaTheme="minorHAnsi"/>
                <w:color w:val="000000"/>
                <w:sz w:val="18"/>
                <w:szCs w:val="18"/>
                <w:lang w:val="ro-MD" w:eastAsia="en-US"/>
                <w14:ligatures w14:val="standardContextual"/>
              </w:rPr>
              <w:t>5 %;</w:t>
            </w:r>
          </w:p>
          <w:p w14:paraId="135BAEF5"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S = perioada de timp dintre data de începere a unei tranzacţii și data raportării, care este exprimată în ani, utilizând convenţia privind zilele lucrătoare relevantă; </w:t>
            </w:r>
          </w:p>
          <w:p w14:paraId="3F539F82"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E = perioada dintre data de încetare a unei tranzacţii și data raportării, care este exprimată în ani, utilizând convenţia privind zilele lucrătoare relevantă; și </w:t>
            </w:r>
          </w:p>
          <w:p w14:paraId="061B020A"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 exerciţiu financiar (OneBusinessYear) = un an exprimat în zile lucrătoare utilizând convenţia privind zilele lucrătoare relevantă. </w:t>
            </w:r>
          </w:p>
          <w:p w14:paraId="5529FBDE"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Data de începere a unei tranzacţii este prima dată la care este fie stabilită, fie efectuată cel puţin o plată contractuală în cadrul tranzacţiei, către bancă sau din partea băncii, alta decât plăţile legate de schimbul de garanţii reale din cadrul unui contract în marjă. În cazul în care tranzacţia a început deja să stabilească sau să efectueze plăţi la data raportării, data de începere a unei tranzacţii este egală cu 0. </w:t>
            </w:r>
          </w:p>
          <w:p w14:paraId="46B0635E"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În cazul în care o tranzacţie implică una sau mai multe date contractuale viitoare la care banca sau contrapartea poate decide să pună capăt tranzacţiei înainte de scadenţa contractuală a acesteia, data de începere a unei tranzacţii este egală cu prima dintre următoarele: </w:t>
            </w:r>
          </w:p>
          <w:p w14:paraId="77E0E051" w14:textId="5D370223"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.1.1.</w:t>
            </w:r>
            <w:r w:rsidR="001A4DE8" w:rsidRPr="008070DB">
              <w:rPr>
                <w:rFonts w:eastAsiaTheme="minorHAnsi"/>
                <w:color w:val="000000"/>
                <w:sz w:val="18"/>
                <w:szCs w:val="18"/>
                <w:lang w:val="ro-MD" w:eastAsia="en-US"/>
                <w14:ligatures w14:val="standardContextual"/>
              </w:rPr>
              <w:t xml:space="preserve"> data sau prima dintre datele viitoare multiple la care banca sau contrapartea poate decide să pună capăt tranzacţiei înainte de scadenţa contractuală a acesteia; </w:t>
            </w:r>
          </w:p>
          <w:p w14:paraId="090A7518" w14:textId="6D032B54"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lastRenderedPageBreak/>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.1.2.</w:t>
            </w:r>
            <w:r w:rsidR="001A4DE8" w:rsidRPr="008070DB">
              <w:rPr>
                <w:rFonts w:eastAsiaTheme="minorHAnsi"/>
                <w:color w:val="000000"/>
                <w:sz w:val="18"/>
                <w:szCs w:val="18"/>
                <w:lang w:val="ro-MD" w:eastAsia="en-US"/>
                <w14:ligatures w14:val="standardContextual"/>
              </w:rPr>
              <w:t xml:space="preserve"> data la care o tranzacţie începe să stabilească sau să efectueze plăţi, altele decât plăţile legate de schimbul de garanţii reale din cadrul unui contract în marjă. </w:t>
            </w:r>
          </w:p>
          <w:p w14:paraId="713AE252"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În cazul în care o tranzacţie are ca instrument-suport un instrument financiar care poate da naștere unor obligaţii contractuale suplimentare faţă de cele care decurg din tranzacţie, data de începere a unei tranzacţii se determină pe baza primei date la care instrumentul-suport începe stabilirea sau efectuarea plăţilor. </w:t>
            </w:r>
          </w:p>
          <w:p w14:paraId="7B09645D"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Data de încetare a unei tranzacţii este ultima dată la care este efectuată sau poate fi efectuată o plată contractuală în cadrul tranzacţiei, către sau din partea băncii. </w:t>
            </w:r>
          </w:p>
          <w:p w14:paraId="325C384D"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În cazul în care o tranzacţie are ca instrument-suport un instrument financiar care poate da naștere unor obligaţii contractuale suplimentare faţă de cele care decurg din tranzacţie, data de încetare a unei tranzacţii se determină pe baza ultimei plăţi contractuale aferente instrumentului-suport al tranzacţiei. </w:t>
            </w:r>
          </w:p>
          <w:p w14:paraId="16E8A6D6"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În cazul în care o tranzacţie este structurată astfel încât o expunere rămasă de rambursat să fie decontată după anumite date de plată specificate și termenii sunt revizuiţi astfel încât valoarea de piaţă a tranzacţiei să fie zero la datele specificate respective, decontarea expunerii rămase de rambursat la aceste date specificate este considerată plată contractuală în cadrul aceleiași tranzacţii; </w:t>
            </w:r>
          </w:p>
          <w:p w14:paraId="76551071" w14:textId="439D3E09"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.2.</w:t>
            </w:r>
            <w:r w:rsidR="001A4DE8" w:rsidRPr="008070DB">
              <w:rPr>
                <w:rFonts w:eastAsiaTheme="minorHAnsi"/>
                <w:color w:val="000000"/>
                <w:sz w:val="18"/>
                <w:szCs w:val="18"/>
                <w:lang w:val="ro-MD" w:eastAsia="en-US"/>
                <w14:ligatures w14:val="standardContextual"/>
              </w:rPr>
              <w:t xml:space="preserve"> în cazul tranzacţiilor încadrate în categoria de risc valutar, băncile calculează valoarea noţională ajustată după cum urmează: </w:t>
            </w:r>
          </w:p>
          <w:p w14:paraId="3864C1CD" w14:textId="7A1B57EF"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.2.1.</w:t>
            </w:r>
            <w:r w:rsidR="001A4DE8" w:rsidRPr="008070DB">
              <w:rPr>
                <w:rFonts w:eastAsiaTheme="minorHAnsi"/>
                <w:color w:val="000000"/>
                <w:sz w:val="18"/>
                <w:szCs w:val="18"/>
                <w:lang w:val="ro-MD" w:eastAsia="en-US"/>
                <w14:ligatures w14:val="standardContextual"/>
              </w:rPr>
              <w:t xml:space="preserve"> în cazul în care tranzacţia este formată dintr-un segment de plată, valoarea noţională ajustată este valoarea noţională a contractului derivat; </w:t>
            </w:r>
          </w:p>
          <w:p w14:paraId="0C6BADF7" w14:textId="6A501E98"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 xml:space="preserve">.2.2. </w:t>
            </w:r>
            <w:r w:rsidR="001A4DE8" w:rsidRPr="008070DB">
              <w:rPr>
                <w:rFonts w:eastAsiaTheme="minorHAnsi"/>
                <w:color w:val="000000"/>
                <w:sz w:val="18"/>
                <w:szCs w:val="18"/>
                <w:lang w:val="ro-MD" w:eastAsia="en-US"/>
                <w14:ligatures w14:val="standardContextual"/>
              </w:rPr>
              <w:t xml:space="preserve">în cazul în care tranzacţia este formată din două segmente de plată, iar valoarea noţională a unui segment de plată este denominată în moneda de raportare a băncii, valoarea noţională ajustată este valoarea noţională a celuilalt segment de plată; </w:t>
            </w:r>
          </w:p>
          <w:p w14:paraId="19FDA411" w14:textId="4504D8D1"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 xml:space="preserve">.2.3. </w:t>
            </w:r>
            <w:r w:rsidR="001A4DE8" w:rsidRPr="008070DB">
              <w:rPr>
                <w:rFonts w:eastAsiaTheme="minorHAnsi"/>
                <w:color w:val="000000"/>
                <w:sz w:val="18"/>
                <w:szCs w:val="18"/>
                <w:lang w:val="ro-MD" w:eastAsia="en-US"/>
                <w14:ligatures w14:val="standardContextual"/>
              </w:rPr>
              <w:t xml:space="preserve">în cazul în care tranzacţia este formată din două segmente de plată, iar valoarea noţională a fiecărui segment de plată este denominată într-o altă monedă decât moneda de raportare a băncii, valoarea noţională ajustată este cea mai mare dintre valorile noţionale ale celor două </w:t>
            </w:r>
            <w:r w:rsidR="001A4DE8" w:rsidRPr="008070DB">
              <w:rPr>
                <w:rFonts w:eastAsiaTheme="minorHAnsi"/>
                <w:color w:val="000000"/>
                <w:sz w:val="18"/>
                <w:szCs w:val="18"/>
                <w:lang w:val="ro-MD" w:eastAsia="en-US"/>
                <w14:ligatures w14:val="standardContextual"/>
              </w:rPr>
              <w:lastRenderedPageBreak/>
              <w:t xml:space="preserve">segmente de plată după ce valorile respective au fost convertite în moneda de raportare a băncii la cursul de schimb la vedere predominant; </w:t>
            </w:r>
          </w:p>
          <w:p w14:paraId="328BD0A8" w14:textId="72EC1E3F"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.3.</w:t>
            </w:r>
            <w:r w:rsidR="001A4DE8" w:rsidRPr="008070DB">
              <w:rPr>
                <w:rFonts w:eastAsiaTheme="minorHAnsi"/>
                <w:color w:val="000000"/>
                <w:sz w:val="18"/>
                <w:szCs w:val="18"/>
                <w:lang w:val="ro-MD" w:eastAsia="en-US"/>
                <w14:ligatures w14:val="standardContextual"/>
              </w:rPr>
              <w:t xml:space="preserve"> pentru tranzacţiile încadrate în categoria de risc privind titlurile de capital sau de risc de marfă, băncile calculează valoarea noţională ajustată ca fiind produsul dintre preţul de piaţă al unei unităţi a instrumentului-suport al tranzacţiei și numărul de unităţi ale instrumentului-suport la care se raportează tranzacţia; </w:t>
            </w:r>
          </w:p>
          <w:p w14:paraId="38D08483"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În cazul în care o tranzacţie încadrată în categoria de risc privind titlurile de capital sau de risc de marfă este exprimată prin contract ca o valoare noţională, băncile utilizează valoarea noţională a tranzacţiei, și nu numărul de unităţi ale instrumentului-suport, ca valoare noţională ajustată; </w:t>
            </w:r>
          </w:p>
          <w:p w14:paraId="32787A5F" w14:textId="58C53CC9"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.4.</w:t>
            </w:r>
            <w:r w:rsidR="001A4DE8" w:rsidRPr="008070DB">
              <w:rPr>
                <w:rFonts w:eastAsiaTheme="minorHAnsi"/>
                <w:color w:val="000000"/>
                <w:sz w:val="18"/>
                <w:szCs w:val="18"/>
                <w:lang w:val="ro-MD" w:eastAsia="en-US"/>
                <w14:ligatures w14:val="standardContextual"/>
              </w:rPr>
              <w:t xml:space="preserve"> pentru tranzacţiile încadrate în categoria „alte riscuri”, băncile calculează valoarea noţională ajustată pe baza metodei celei mai adecvate dintre metodele menţionate la </w:t>
            </w:r>
            <w:r w:rsidR="00292CEF" w:rsidRPr="008070DB">
              <w:rPr>
                <w:rFonts w:eastAsiaTheme="minorHAnsi"/>
                <w:color w:val="000000"/>
                <w:sz w:val="18"/>
                <w:szCs w:val="18"/>
                <w:lang w:val="ro-MD" w:eastAsia="en-US"/>
                <w14:ligatures w14:val="standardContextual"/>
              </w:rPr>
              <w:t>sub</w:t>
            </w:r>
            <w:r w:rsidR="001A4DE8" w:rsidRPr="008070DB">
              <w:rPr>
                <w:rFonts w:eastAsiaTheme="minorHAnsi"/>
                <w:color w:val="000000"/>
                <w:sz w:val="18"/>
                <w:szCs w:val="18"/>
                <w:lang w:val="ro-MD" w:eastAsia="en-US"/>
                <w14:ligatures w14:val="standardContextual"/>
              </w:rPr>
              <w:t xml:space="preserve">punctele </w:t>
            </w: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.1.</w:t>
            </w:r>
            <w:r w:rsidR="001A4DE8" w:rsidRPr="008070DB">
              <w:rPr>
                <w:rFonts w:eastAsiaTheme="minorHAnsi"/>
                <w:color w:val="000000"/>
                <w:sz w:val="18"/>
                <w:szCs w:val="18"/>
                <w:lang w:val="ro-MD" w:eastAsia="en-US"/>
                <w14:ligatures w14:val="standardContextual"/>
              </w:rPr>
              <w:t>-</w:t>
            </w: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B67C56" w:rsidRPr="008070DB">
              <w:rPr>
                <w:rFonts w:eastAsiaTheme="minorHAnsi"/>
                <w:color w:val="000000"/>
                <w:sz w:val="18"/>
                <w:szCs w:val="18"/>
                <w:lang w:val="ro-MD" w:eastAsia="en-US"/>
                <w14:ligatures w14:val="standardContextual"/>
              </w:rPr>
              <w:t>.3.</w:t>
            </w:r>
            <w:r w:rsidR="001A4DE8" w:rsidRPr="008070DB">
              <w:rPr>
                <w:rFonts w:eastAsiaTheme="minorHAnsi"/>
                <w:color w:val="000000"/>
                <w:sz w:val="18"/>
                <w:szCs w:val="18"/>
                <w:lang w:val="ro-MD" w:eastAsia="en-US"/>
                <w14:ligatures w14:val="standardContextual"/>
              </w:rPr>
              <w:t xml:space="preserve">, în funcţie de natura și caracteristicile instrumentului-suport al tranzacţiei. </w:t>
            </w:r>
          </w:p>
          <w:p w14:paraId="52FB4DC0" w14:textId="6DC096CA"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7</w:t>
            </w:r>
            <w:r w:rsidR="00ED5C7A" w:rsidRPr="008070DB">
              <w:rPr>
                <w:rFonts w:eastAsiaTheme="minorHAnsi"/>
                <w:b/>
                <w:bCs/>
                <w:color w:val="000000"/>
                <w:sz w:val="18"/>
                <w:szCs w:val="18"/>
                <w:lang w:val="ro-MD" w:eastAsia="en-US"/>
                <w14:ligatures w14:val="standardContextual"/>
              </w:rPr>
              <w:t>3</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În scopul calculării valorii noţionale ajustate a unei tranzacţii menţionate la punctul </w:t>
            </w: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2</w:t>
            </w:r>
            <w:r w:rsidR="001A4DE8" w:rsidRPr="008070DB">
              <w:rPr>
                <w:rFonts w:eastAsiaTheme="minorHAnsi"/>
                <w:color w:val="000000"/>
                <w:sz w:val="18"/>
                <w:szCs w:val="18"/>
                <w:lang w:val="ro-MD" w:eastAsia="en-US"/>
                <w14:ligatures w14:val="standardContextual"/>
              </w:rPr>
              <w:t xml:space="preserve">, băncile determină valoarea noţională sau numărul de unităţi ale instrumentului-suport după cum urmează: </w:t>
            </w:r>
          </w:p>
          <w:p w14:paraId="0DE2A448" w14:textId="28B45E58"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3</w:t>
            </w:r>
            <w:r w:rsidR="00B67C56"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1</w:t>
            </w:r>
            <w:r w:rsidR="00B67C56"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în cazul în care valoarea noţională sau numărul de unităţi ale instrumentului-suport al unei tranzacţii nu este stabilit până la scadenţa contractuală: </w:t>
            </w:r>
          </w:p>
          <w:p w14:paraId="4AC5165A" w14:textId="6B1747D9"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3</w:t>
            </w:r>
            <w:r w:rsidR="00B67C56" w:rsidRPr="008070DB">
              <w:rPr>
                <w:rFonts w:eastAsiaTheme="minorHAnsi"/>
                <w:color w:val="000000"/>
                <w:sz w:val="18"/>
                <w:szCs w:val="18"/>
                <w:lang w:val="ro-MD" w:eastAsia="en-US"/>
                <w14:ligatures w14:val="standardContextual"/>
              </w:rPr>
              <w:t>.1.1.</w:t>
            </w:r>
            <w:r w:rsidR="001A4DE8" w:rsidRPr="008070DB">
              <w:rPr>
                <w:rFonts w:eastAsiaTheme="minorHAnsi"/>
                <w:color w:val="000000"/>
                <w:sz w:val="18"/>
                <w:szCs w:val="18"/>
                <w:lang w:val="ro-MD" w:eastAsia="en-US"/>
                <w14:ligatures w14:val="standardContextual"/>
              </w:rPr>
              <w:t xml:space="preserve"> pentru valori deterministe ale valorilor noţionale și ale numărului de unităţi ale instrumentului-suport, valoarea noţională este media ponderată a tuturor valorilor deterministe ale valorilor noţionale sau ale numărului de unităţi ale instrumentului-suport, după caz, până la scadenţa contractuală a tranzacţiei, ponderile fiind date de proporţia din perioada în care se aplică fiecare valoare noţională; </w:t>
            </w:r>
          </w:p>
          <w:p w14:paraId="05F75D61" w14:textId="3EED3E2A"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3</w:t>
            </w:r>
            <w:r w:rsidR="00B67C56" w:rsidRPr="008070DB">
              <w:rPr>
                <w:rFonts w:eastAsiaTheme="minorHAnsi"/>
                <w:color w:val="000000"/>
                <w:sz w:val="18"/>
                <w:szCs w:val="18"/>
                <w:lang w:val="ro-MD" w:eastAsia="en-US"/>
                <w14:ligatures w14:val="standardContextual"/>
              </w:rPr>
              <w:t>.1.2.</w:t>
            </w:r>
            <w:r w:rsidR="001A4DE8" w:rsidRPr="008070DB">
              <w:rPr>
                <w:rFonts w:eastAsiaTheme="minorHAnsi"/>
                <w:color w:val="000000"/>
                <w:sz w:val="18"/>
                <w:szCs w:val="18"/>
                <w:lang w:val="ro-MD" w:eastAsia="en-US"/>
                <w14:ligatures w14:val="standardContextual"/>
              </w:rPr>
              <w:t xml:space="preserve"> pentru valori stocastice ale valorilor noţionale și ale numărului de unităţi ale instrumentului-suport, valoarea noţională este valoarea determinată prin stabilirea valorilor curente de piaţă în formula de calcul al valorilor de piaţă viitoare; </w:t>
            </w:r>
          </w:p>
          <w:p w14:paraId="7DC60E2D" w14:textId="1901D618"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lastRenderedPageBreak/>
              <w:t>7</w:t>
            </w:r>
            <w:r w:rsidR="00ED5C7A" w:rsidRPr="008070DB">
              <w:rPr>
                <w:rFonts w:eastAsiaTheme="minorHAnsi"/>
                <w:color w:val="000000"/>
                <w:sz w:val="18"/>
                <w:szCs w:val="18"/>
                <w:lang w:val="ro-MD" w:eastAsia="en-US"/>
                <w14:ligatures w14:val="standardContextual"/>
              </w:rPr>
              <w:t>3</w:t>
            </w:r>
            <w:r w:rsidR="00B67C56" w:rsidRPr="008070DB">
              <w:rPr>
                <w:rFonts w:eastAsiaTheme="minorHAnsi"/>
                <w:color w:val="000000"/>
                <w:sz w:val="18"/>
                <w:szCs w:val="18"/>
                <w:lang w:val="ro-MD" w:eastAsia="en-US"/>
                <w14:ligatures w14:val="standardContextual"/>
              </w:rPr>
              <w:t>.2.</w:t>
            </w:r>
            <w:r w:rsidR="001A4DE8" w:rsidRPr="008070DB">
              <w:rPr>
                <w:rFonts w:eastAsiaTheme="minorHAnsi"/>
                <w:color w:val="000000"/>
                <w:sz w:val="18"/>
                <w:szCs w:val="18"/>
                <w:lang w:val="ro-MD" w:eastAsia="en-US"/>
                <w14:ligatures w14:val="standardContextual"/>
              </w:rPr>
              <w:t xml:space="preserve"> în cazul contractelor care presupun schimburi multiple ale valorii noţionale, aceasta se înmulţește cu numărul plăţilor care mai rămân de efectuat conform contractelor; </w:t>
            </w:r>
          </w:p>
          <w:p w14:paraId="321AE08A" w14:textId="0429C128"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7</w:t>
            </w:r>
            <w:r w:rsidR="00ED5C7A" w:rsidRPr="008070DB">
              <w:rPr>
                <w:rFonts w:eastAsiaTheme="minorHAnsi"/>
                <w:color w:val="000000"/>
                <w:sz w:val="18"/>
                <w:szCs w:val="18"/>
                <w:lang w:val="ro-MD" w:eastAsia="en-US"/>
                <w14:ligatures w14:val="standardContextual"/>
              </w:rPr>
              <w:t>3</w:t>
            </w:r>
            <w:r w:rsidR="00B67C56" w:rsidRPr="008070DB">
              <w:rPr>
                <w:rFonts w:eastAsiaTheme="minorHAnsi"/>
                <w:color w:val="000000"/>
                <w:sz w:val="18"/>
                <w:szCs w:val="18"/>
                <w:lang w:val="ro-MD" w:eastAsia="en-US"/>
                <w14:ligatures w14:val="standardContextual"/>
              </w:rPr>
              <w:t>.3.</w:t>
            </w:r>
            <w:r w:rsidR="001A4DE8" w:rsidRPr="008070DB">
              <w:rPr>
                <w:rFonts w:eastAsiaTheme="minorHAnsi"/>
                <w:color w:val="000000"/>
                <w:sz w:val="18"/>
                <w:szCs w:val="18"/>
                <w:lang w:val="ro-MD" w:eastAsia="en-US"/>
                <w14:ligatures w14:val="standardContextual"/>
              </w:rPr>
              <w:t xml:space="preserve"> în cazul contractelor care prevăd o multiplicare a plăţilor aferente fluxurilor de numerar sau o multiplicare a instrumentului-suport al contractului derivat, banca ajustează valoarea noţională pentru a reflecta efectele multiplicării asupra structurii de risc a contractelor respective. </w:t>
            </w:r>
          </w:p>
          <w:p w14:paraId="4C24E247" w14:textId="4F4CC89B" w:rsidR="001A4DE8" w:rsidRPr="008070DB" w:rsidRDefault="00376CEA"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7</w:t>
            </w:r>
            <w:r w:rsidR="00ED5C7A" w:rsidRPr="008070DB">
              <w:rPr>
                <w:rFonts w:eastAsiaTheme="minorHAnsi"/>
                <w:b/>
                <w:bCs/>
                <w:color w:val="000000"/>
                <w:sz w:val="18"/>
                <w:szCs w:val="18"/>
                <w:lang w:val="ro-MD" w:eastAsia="en-US"/>
                <w14:ligatures w14:val="standardContextual"/>
              </w:rPr>
              <w:t>4</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convertesc valoarea noţională ajustată a unei tranzacţii în moneda lor de raportare la cursul de schimb la vedere predominant în cazul în care valoarea noţională ajustată este calculată pornind de la o valoare noţională contractuală sau de la un preţ de piaţă al numărului de unităţi ale instrumentului-suport denominat într-o altă monedă. </w:t>
            </w:r>
          </w:p>
          <w:p w14:paraId="7AC0B003"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F1C3F07"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87820B7"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56F333C"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82599B5"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7B9FC23"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6B631F8"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0E17D29"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BDE9998"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2CF5608"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72EC93B"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E62787C"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29FE920"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2EF1C0B"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F1309A7"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37251B4"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607474F"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523E339"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77F3B81"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D1EF941" w14:textId="77777777"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B50D967" w14:textId="4BC753A3" w:rsidR="002305DE" w:rsidRPr="008070DB" w:rsidRDefault="002305DE" w:rsidP="003456B0">
            <w:pPr>
              <w:pStyle w:val="NoSpacing"/>
              <w:tabs>
                <w:tab w:val="left" w:pos="328"/>
              </w:tabs>
              <w:jc w:val="both"/>
              <w:rPr>
                <w:i/>
                <w:iCs/>
                <w:color w:val="000000"/>
                <w:sz w:val="18"/>
                <w:szCs w:val="18"/>
                <w:lang w:val="ro-MD"/>
                <w14:ligatures w14:val="standardContextual"/>
              </w:rPr>
            </w:pPr>
            <w:r w:rsidRPr="008070DB">
              <w:rPr>
                <w:rFonts w:ascii="Times New Roman" w:hAnsi="Times New Roman" w:cs="Times New Roman"/>
                <w:b/>
                <w:bCs/>
                <w:i/>
                <w:iCs/>
                <w:sz w:val="18"/>
                <w:szCs w:val="18"/>
                <w:lang w:val="ro-RO" w:eastAsia="ro-MD"/>
              </w:rPr>
              <w:t xml:space="preserve">Prevederi existente - </w:t>
            </w:r>
            <w:r w:rsidRPr="008070DB">
              <w:rPr>
                <w:rFonts w:ascii="Times New Roman" w:hAnsi="Times New Roman" w:cs="Times New Roman"/>
                <w:i/>
                <w:iCs/>
                <w:sz w:val="18"/>
                <w:szCs w:val="18"/>
                <w:lang w:val="ro-RO" w:eastAsia="ro-MD"/>
              </w:rPr>
              <w:t>Regulamentul nr.220/2025</w:t>
            </w:r>
          </w:p>
        </w:tc>
        <w:tc>
          <w:tcPr>
            <w:tcW w:w="1554" w:type="dxa"/>
          </w:tcPr>
          <w:p w14:paraId="07B0FD71" w14:textId="0BB37C0F"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5400DC95" w14:textId="77777777" w:rsidR="001A4DE8" w:rsidRPr="00A96E09" w:rsidRDefault="001A4DE8" w:rsidP="00C14AF6">
            <w:pPr>
              <w:jc w:val="both"/>
              <w:rPr>
                <w:sz w:val="18"/>
                <w:szCs w:val="18"/>
                <w:lang w:val="ro-MD"/>
              </w:rPr>
            </w:pPr>
          </w:p>
        </w:tc>
      </w:tr>
      <w:tr w:rsidR="001A4DE8" w:rsidRPr="00E57BBB" w14:paraId="4DC750C3" w14:textId="77777777" w:rsidTr="00C14AF6">
        <w:trPr>
          <w:trHeight w:val="918"/>
        </w:trPr>
        <w:tc>
          <w:tcPr>
            <w:tcW w:w="3866" w:type="dxa"/>
          </w:tcPr>
          <w:p w14:paraId="5B7A4857" w14:textId="6353ABC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279c </w:t>
            </w:r>
            <w:r w:rsidRPr="00A96E09">
              <w:rPr>
                <w:rFonts w:ascii="Times New Roman" w:hAnsi="Times New Roman"/>
                <w:b/>
                <w:bCs/>
                <w:color w:val="000000"/>
                <w:sz w:val="18"/>
                <w:szCs w:val="18"/>
              </w:rPr>
              <w:t>Factorul de ajustare în funcţie de scadenţă</w:t>
            </w:r>
          </w:p>
          <w:p w14:paraId="7D36158E" w14:textId="77777777" w:rsidR="001A4DE8" w:rsidRPr="00A96E09" w:rsidRDefault="001A4DE8" w:rsidP="003456B0">
            <w:pPr>
              <w:pStyle w:val="CM4"/>
              <w:spacing w:before="60" w:after="60"/>
              <w:jc w:val="both"/>
              <w:rPr>
                <w:rFonts w:ascii="Times New Roman" w:hAnsi="Times New Roman"/>
                <w:color w:val="000000"/>
                <w:sz w:val="18"/>
                <w:szCs w:val="18"/>
              </w:rPr>
            </w:pPr>
            <w:r w:rsidRPr="00DD1BF7">
              <w:rPr>
                <w:rFonts w:ascii="Times New Roman" w:hAnsi="Times New Roman"/>
                <w:color w:val="000000"/>
                <w:sz w:val="18"/>
                <w:szCs w:val="18"/>
                <w:highlight w:val="yellow"/>
              </w:rPr>
              <w:t>(1)</w:t>
            </w:r>
            <w:bookmarkStart w:id="15" w:name="_Hlk214362495"/>
            <w:r w:rsidRPr="00DD1BF7">
              <w:rPr>
                <w:rFonts w:ascii="Times New Roman" w:hAnsi="Times New Roman"/>
                <w:color w:val="000000"/>
                <w:sz w:val="18"/>
                <w:szCs w:val="18"/>
                <w:highlight w:val="yellow"/>
              </w:rPr>
              <w:t xml:space="preserve"> Instituţiile calculează factorul de ajustare în funcţie de scadenţă după cum urmează:</w:t>
            </w:r>
            <w:r w:rsidRPr="00A96E09">
              <w:rPr>
                <w:rFonts w:ascii="Times New Roman" w:hAnsi="Times New Roman"/>
                <w:color w:val="000000"/>
                <w:sz w:val="18"/>
                <w:szCs w:val="18"/>
              </w:rPr>
              <w:t xml:space="preserve"> </w:t>
            </w:r>
            <w:bookmarkEnd w:id="15"/>
          </w:p>
          <w:p w14:paraId="1EE5F4A1" w14:textId="4B56995C"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(a) pentru tranzacţiile incluse în seturile de compensare menţionate la articolul 275 alineatul (1), instituţiile utilizează următoarea formulă: </w:t>
            </w:r>
          </w:p>
          <w:p w14:paraId="76E68AB1"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77A286AC" wp14:editId="0A6FCF61">
                  <wp:extent cx="2001876" cy="198783"/>
                  <wp:effectExtent l="0" t="0" r="0" b="0"/>
                  <wp:docPr id="15455014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7565" cy="213250"/>
                          </a:xfrm>
                          <a:prstGeom prst="rect">
                            <a:avLst/>
                          </a:prstGeom>
                          <a:noFill/>
                          <a:ln>
                            <a:noFill/>
                          </a:ln>
                        </pic:spPr>
                      </pic:pic>
                    </a:graphicData>
                  </a:graphic>
                </wp:inline>
              </w:drawing>
            </w:r>
          </w:p>
          <w:p w14:paraId="0563B01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C66817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MF = factorul de ajustare în funcţie de </w:t>
            </w:r>
            <w:proofErr w:type="gramStart"/>
            <w:r w:rsidRPr="00A96E09">
              <w:rPr>
                <w:rFonts w:ascii="Times New Roman" w:hAnsi="Times New Roman"/>
                <w:color w:val="000000"/>
                <w:sz w:val="18"/>
                <w:szCs w:val="18"/>
              </w:rPr>
              <w:t>scadenţă;</w:t>
            </w:r>
            <w:proofErr w:type="gramEnd"/>
            <w:r w:rsidRPr="00A96E09">
              <w:rPr>
                <w:rFonts w:ascii="Times New Roman" w:hAnsi="Times New Roman"/>
                <w:color w:val="000000"/>
                <w:sz w:val="18"/>
                <w:szCs w:val="18"/>
              </w:rPr>
              <w:t xml:space="preserve"> </w:t>
            </w:r>
          </w:p>
          <w:p w14:paraId="6381DE1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M = scadenţa reziduală a tranzacţiei care este egală cu perioada de timp necesară pentru încetarea tuturor obligaţiilor contractuale care decurg din tranzacţie; în acest scop, se consideră că orice opţionalitate a unui contract derivat este o obligaţie contractuală; scadenţa reziduală se exprimă în ani, utilizând convenţia privind zilele lucrătoare </w:t>
            </w:r>
            <w:proofErr w:type="gramStart"/>
            <w:r w:rsidRPr="00A96E09">
              <w:rPr>
                <w:rFonts w:ascii="Times New Roman" w:hAnsi="Times New Roman"/>
                <w:color w:val="000000"/>
                <w:sz w:val="18"/>
                <w:szCs w:val="18"/>
              </w:rPr>
              <w:t>relevantă;</w:t>
            </w:r>
            <w:proofErr w:type="gramEnd"/>
            <w:r w:rsidRPr="00A96E09">
              <w:rPr>
                <w:rFonts w:ascii="Times New Roman" w:hAnsi="Times New Roman"/>
                <w:color w:val="000000"/>
                <w:sz w:val="18"/>
                <w:szCs w:val="18"/>
              </w:rPr>
              <w:t xml:space="preserve"> </w:t>
            </w:r>
          </w:p>
          <w:p w14:paraId="0832F29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are ca instrument-suport un alt contract derivat care poate da naștere unor obligaţii contractuale suplimentare faţă de obligaţiile contractuale care decurg din tranzacţie, scadenţa reziduală a tranzacţiei este egală cu perioada de timp necesară pentru încetarea tuturor obligaţiilor contractuale aferente instrumentului- </w:t>
            </w:r>
            <w:proofErr w:type="gramStart"/>
            <w:r w:rsidRPr="00A96E09">
              <w:rPr>
                <w:rFonts w:ascii="Times New Roman" w:hAnsi="Times New Roman"/>
                <w:color w:val="000000"/>
                <w:sz w:val="18"/>
                <w:szCs w:val="18"/>
              </w:rPr>
              <w:t>suport;</w:t>
            </w:r>
            <w:proofErr w:type="gramEnd"/>
            <w:r w:rsidRPr="00A96E09">
              <w:rPr>
                <w:rFonts w:ascii="Times New Roman" w:hAnsi="Times New Roman"/>
                <w:color w:val="000000"/>
                <w:sz w:val="18"/>
                <w:szCs w:val="18"/>
              </w:rPr>
              <w:t xml:space="preserve"> </w:t>
            </w:r>
          </w:p>
          <w:p w14:paraId="2591BF4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o tranzacţie este structurată astfel încât expunerea rămasă de rambursat să fie decontată după anumite date de plată specificate și termenii sunt revizuiţi astfel încât valoarea de piaţă a tranzacţiei să fie zero la datele specificate </w:t>
            </w:r>
            <w:r w:rsidRPr="00A96E09">
              <w:rPr>
                <w:rFonts w:ascii="Times New Roman" w:hAnsi="Times New Roman"/>
                <w:color w:val="000000"/>
                <w:sz w:val="18"/>
                <w:szCs w:val="18"/>
              </w:rPr>
              <w:lastRenderedPageBreak/>
              <w:t xml:space="preserve">respective, scadenţa reziduală a tranzacţiei este egală cu perioada rămasă până la data următoarei revizuiri a termenilor; și </w:t>
            </w:r>
          </w:p>
          <w:p w14:paraId="636415F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 exerciţiu financiar (OneBusinessYear) = un an exprimat în zile lucrătoare utilizând convenţia privind zilele lucrătoare </w:t>
            </w:r>
            <w:proofErr w:type="gramStart"/>
            <w:r w:rsidRPr="00A96E09">
              <w:rPr>
                <w:rFonts w:ascii="Times New Roman" w:hAnsi="Times New Roman"/>
                <w:color w:val="000000"/>
                <w:sz w:val="18"/>
                <w:szCs w:val="18"/>
              </w:rPr>
              <w:t>relevantă;</w:t>
            </w:r>
            <w:proofErr w:type="gramEnd"/>
            <w:r w:rsidRPr="00A96E09">
              <w:rPr>
                <w:rFonts w:ascii="Times New Roman" w:hAnsi="Times New Roman"/>
                <w:color w:val="000000"/>
                <w:sz w:val="18"/>
                <w:szCs w:val="18"/>
              </w:rPr>
              <w:t xml:space="preserve"> </w:t>
            </w:r>
          </w:p>
          <w:p w14:paraId="11AC1C72"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bookmarkStart w:id="16" w:name="_Hlk214362444"/>
            <w:r w:rsidRPr="00A96E09">
              <w:rPr>
                <w:rFonts w:eastAsiaTheme="minorHAnsi"/>
                <w:color w:val="000000"/>
                <w:sz w:val="18"/>
                <w:szCs w:val="18"/>
                <w:lang w:val="ro-MD" w:eastAsia="en-US"/>
              </w:rPr>
              <w:t xml:space="preserve">(b) în cazul tranzacţiilor incluse în seturile de compensare menţionate la articolul 275 alineatele (2) și (3), factorul de ajustare în funcţie de scadenţă este definit ca: </w:t>
            </w:r>
          </w:p>
          <w:p w14:paraId="12CC0839"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 </w:t>
            </w:r>
            <w:r w:rsidRPr="00A96E09">
              <w:rPr>
                <w:rFonts w:eastAsiaTheme="minorHAnsi"/>
                <w:noProof/>
                <w:color w:val="000000"/>
                <w:sz w:val="18"/>
                <w:szCs w:val="18"/>
                <w:lang w:val="ro-MD" w:eastAsia="en-US"/>
              </w:rPr>
              <w:drawing>
                <wp:inline distT="0" distB="0" distL="0" distR="0" wp14:anchorId="1E38E08D" wp14:editId="070B3C1F">
                  <wp:extent cx="2061713" cy="429471"/>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3878" cy="440337"/>
                          </a:xfrm>
                          <a:prstGeom prst="rect">
                            <a:avLst/>
                          </a:prstGeom>
                          <a:noFill/>
                        </pic:spPr>
                      </pic:pic>
                    </a:graphicData>
                  </a:graphic>
                </wp:inline>
              </w:drawing>
            </w:r>
          </w:p>
          <w:p w14:paraId="38643F22"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unde: </w:t>
            </w:r>
          </w:p>
          <w:p w14:paraId="78D6DFAD"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MF = factorul de ajustare în funcţie de scadenţă; </w:t>
            </w:r>
          </w:p>
          <w:p w14:paraId="664FF85D"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MPOR = perioada de risc de marjă aferentă setului de compensare determinată în conformitate cu articolul 285 alineatele (2)- (5); și </w:t>
            </w:r>
          </w:p>
          <w:p w14:paraId="24F80631"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un exerciţiu financiar (OneBusinessYear) = un an exprimat în zile lucrătoare utilizând convenţia privind zilele lucrătoare relevantă. </w:t>
            </w:r>
          </w:p>
          <w:bookmarkEnd w:id="16"/>
          <w:p w14:paraId="5A1249AF" w14:textId="77777777" w:rsidR="001A4DE8" w:rsidRPr="00A96E09" w:rsidRDefault="001A4DE8" w:rsidP="003456B0">
            <w:pPr>
              <w:autoSpaceDE w:val="0"/>
              <w:autoSpaceDN w:val="0"/>
              <w:adjustRightInd w:val="0"/>
              <w:spacing w:before="200" w:after="200"/>
              <w:jc w:val="both"/>
              <w:rPr>
                <w:rFonts w:eastAsiaTheme="minorHAnsi"/>
                <w:color w:val="000000"/>
                <w:sz w:val="18"/>
                <w:szCs w:val="18"/>
                <w:lang w:val="ro-MD" w:eastAsia="en-US"/>
              </w:rPr>
            </w:pPr>
            <w:r w:rsidRPr="00A96E09">
              <w:rPr>
                <w:rFonts w:eastAsiaTheme="minorHAnsi"/>
                <w:color w:val="000000"/>
                <w:sz w:val="18"/>
                <w:szCs w:val="18"/>
                <w:lang w:val="ro-MD" w:eastAsia="en-US"/>
              </w:rPr>
              <w:t xml:space="preserve">Atunci când determină perioada de risc de marjă pentru tranzacţii încheiate între un client și un membru compensator, o instituţie care acţionează în calitate de client sau de membru compensator înlocuiește perioada minimă prevăzută la articolul 285 alineatul (2) litera (b) cu cinci zile lucrătoare. </w:t>
            </w:r>
          </w:p>
          <w:p w14:paraId="6EEBE9F1" w14:textId="0AA1AE25"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eastAsiaTheme="minorHAnsi" w:hAnsi="Times New Roman"/>
                <w:color w:val="000000"/>
                <w:sz w:val="18"/>
                <w:szCs w:val="18"/>
                <w:lang w:val="ro-MD"/>
              </w:rPr>
              <w:t xml:space="preserve">(2) În sensul alineatului (1), scadenţa reziduală este egală cu perioada rămasă până la data următoarei revizuiri a termenilor tranzacţiilor care sunt structurate astfel încât expunerile rămase să fie decontate după anumite date de plată specificate și ai căror termeni sunt revizuiţi astfel încât valoarea </w:t>
            </w:r>
            <w:r w:rsidRPr="00A96E09">
              <w:rPr>
                <w:rFonts w:ascii="Times New Roman" w:eastAsiaTheme="minorHAnsi" w:hAnsi="Times New Roman"/>
                <w:color w:val="000000"/>
                <w:sz w:val="18"/>
                <w:szCs w:val="18"/>
                <w:lang w:val="ro-MD"/>
              </w:rPr>
              <w:lastRenderedPageBreak/>
              <w:t>de piaţă a contractului să fie zero la datele specificate respective.</w:t>
            </w:r>
          </w:p>
        </w:tc>
        <w:tc>
          <w:tcPr>
            <w:tcW w:w="4356" w:type="dxa"/>
          </w:tcPr>
          <w:p w14:paraId="550E1BE5" w14:textId="50424358" w:rsidR="001A4DE8" w:rsidRPr="008070DB" w:rsidRDefault="001A4DE8" w:rsidP="003456B0">
            <w:pPr>
              <w:pStyle w:val="CM4"/>
              <w:spacing w:before="60" w:after="60"/>
              <w:ind w:firstLine="567"/>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 xml:space="preserve">Secțiunea a 9-a </w:t>
            </w:r>
          </w:p>
          <w:p w14:paraId="19510798" w14:textId="7F8219FB" w:rsidR="001A4DE8" w:rsidRPr="008070DB" w:rsidRDefault="001A4DE8" w:rsidP="003456B0">
            <w:pPr>
              <w:pStyle w:val="Default"/>
              <w:ind w:firstLine="567"/>
              <w:jc w:val="both"/>
              <w:rPr>
                <w:rFonts w:ascii="Times New Roman" w:hAnsi="Times New Roman" w:cs="Times New Roman"/>
                <w:b/>
                <w:bCs/>
                <w:sz w:val="18"/>
                <w:szCs w:val="18"/>
              </w:rPr>
            </w:pPr>
            <w:r w:rsidRPr="008070DB">
              <w:rPr>
                <w:rFonts w:ascii="Times New Roman" w:hAnsi="Times New Roman" w:cs="Times New Roman"/>
                <w:b/>
                <w:bCs/>
                <w:sz w:val="18"/>
                <w:szCs w:val="18"/>
              </w:rPr>
              <w:t xml:space="preserve">Factorul de ajustare în funcţie de scadenţă și coeficientul factorului </w:t>
            </w:r>
            <w:r w:rsidR="00C05B83" w:rsidRPr="008070DB">
              <w:rPr>
                <w:rFonts w:ascii="Times New Roman" w:hAnsi="Times New Roman" w:cs="Times New Roman"/>
                <w:b/>
                <w:bCs/>
                <w:sz w:val="18"/>
                <w:szCs w:val="18"/>
              </w:rPr>
              <w:t>stabilit</w:t>
            </w:r>
            <w:r w:rsidRPr="008070DB">
              <w:rPr>
                <w:rFonts w:ascii="Times New Roman" w:hAnsi="Times New Roman" w:cs="Times New Roman"/>
                <w:b/>
                <w:bCs/>
                <w:sz w:val="18"/>
                <w:szCs w:val="18"/>
              </w:rPr>
              <w:t xml:space="preserve"> de Banca Națională a Moldovei aferent setului de acoperire a riscului</w:t>
            </w:r>
          </w:p>
          <w:p w14:paraId="5B33442F" w14:textId="77777777" w:rsidR="002305DE" w:rsidRPr="008070DB" w:rsidRDefault="002305DE" w:rsidP="003456B0">
            <w:pPr>
              <w:tabs>
                <w:tab w:val="left" w:pos="272"/>
              </w:tabs>
              <w:autoSpaceDE w:val="0"/>
              <w:autoSpaceDN w:val="0"/>
              <w:adjustRightInd w:val="0"/>
              <w:jc w:val="both"/>
              <w:rPr>
                <w:rFonts w:eastAsiaTheme="minorHAnsi"/>
                <w:b/>
                <w:bCs/>
                <w:i/>
                <w:iCs/>
                <w:color w:val="000000"/>
                <w:sz w:val="18"/>
                <w:szCs w:val="18"/>
                <w:lang w:val="en-US" w:eastAsia="en-US"/>
                <w14:ligatures w14:val="standardContextual"/>
              </w:rPr>
            </w:pPr>
            <w:r w:rsidRPr="008070DB">
              <w:rPr>
                <w:rFonts w:eastAsiaTheme="minorHAnsi"/>
                <w:b/>
                <w:bCs/>
                <w:i/>
                <w:iCs/>
                <w:color w:val="000000"/>
                <w:sz w:val="18"/>
                <w:szCs w:val="18"/>
                <w:lang w:val="en-US" w:eastAsia="en-US"/>
                <w14:ligatures w14:val="standardContextual"/>
              </w:rPr>
              <w:t xml:space="preserve">75. </w:t>
            </w:r>
            <w:r w:rsidRPr="008070DB">
              <w:rPr>
                <w:rFonts w:eastAsiaTheme="minorHAnsi"/>
                <w:i/>
                <w:iCs/>
                <w:color w:val="000000"/>
                <w:sz w:val="18"/>
                <w:szCs w:val="18"/>
                <w:lang w:val="en-US" w:eastAsia="en-US"/>
                <w14:ligatures w14:val="standardContextual"/>
              </w:rPr>
              <w:t>Băncile calculează factorul de ajustare în funcţie de scadenţă după cum urmează:</w:t>
            </w:r>
          </w:p>
          <w:p w14:paraId="58CBB0F7"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75.1. pentru tranzacţiile incluse în seturile de compensare menţionate la punctul 49, băncile calculează factorul de ajustare în funcţie de scadenţă după următoarea formulă:</w:t>
            </w:r>
          </w:p>
          <w:p w14:paraId="1950D12B"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color w:val="000000"/>
                <w:sz w:val="18"/>
                <w:szCs w:val="18"/>
                <w:lang w:val="en-US" w:eastAsia="en-US"/>
                <w14:ligatures w14:val="standardContextual"/>
              </w:rPr>
              <w:t> </w:t>
            </w:r>
          </w:p>
          <w:p w14:paraId="4C752581"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noProof/>
                <w:color w:val="000000"/>
                <w:sz w:val="18"/>
                <w:szCs w:val="18"/>
                <w:lang w:val="en-US" w:eastAsia="en-US"/>
                <w14:ligatures w14:val="standardContextual"/>
              </w:rPr>
              <w:drawing>
                <wp:inline distT="0" distB="0" distL="0" distR="0" wp14:anchorId="167D4194" wp14:editId="7CD53AB9">
                  <wp:extent cx="2635295" cy="198783"/>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0773" cy="202213"/>
                          </a:xfrm>
                          <a:prstGeom prst="rect">
                            <a:avLst/>
                          </a:prstGeom>
                          <a:noFill/>
                          <a:ln>
                            <a:noFill/>
                          </a:ln>
                        </pic:spPr>
                      </pic:pic>
                    </a:graphicData>
                  </a:graphic>
                </wp:inline>
              </w:drawing>
            </w:r>
          </w:p>
          <w:p w14:paraId="452C9942"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unde:</w:t>
            </w:r>
          </w:p>
          <w:p w14:paraId="5B00592F"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 xml:space="preserve">MF = factorul de ajustare în funcţie de </w:t>
            </w:r>
            <w:proofErr w:type="gramStart"/>
            <w:r w:rsidRPr="008070DB">
              <w:rPr>
                <w:rFonts w:eastAsiaTheme="minorHAnsi"/>
                <w:i/>
                <w:iCs/>
                <w:color w:val="000000"/>
                <w:sz w:val="18"/>
                <w:szCs w:val="18"/>
                <w:lang w:val="en-US" w:eastAsia="en-US"/>
                <w14:ligatures w14:val="standardContextual"/>
              </w:rPr>
              <w:t>scadenţă;</w:t>
            </w:r>
            <w:proofErr w:type="gramEnd"/>
          </w:p>
          <w:p w14:paraId="376A429B"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M = scadenţa reziduală a tranzacţiei care este egală cu perioada de timp necesară pentru încetarea tuturor obligaţiilor contractuale care decurg din tranzacţie; în acest scop, se consideră că orice opţionalitate a unui contract derivat este o obligaţie contractuală; scadenţa reziduală se exprimă în ani, utilizând convenţia privind zilele lucrătoare relevantă; în cazul în care o tranzacţie are ca instrument-suport un alt contract derivat care poate da naştere unor obligaţii contractuale suplimentare faţă de obligaţiile contractuale care decurg din tranzacţie, scadenţa reziduală a tranzacţiei este egală cu perioada de timp necesară pentru încetarea tuturor obligaţiilor contractuale aferente instrumentului- suport; în cazul în care o tranzacţie</w:t>
            </w:r>
            <w:r w:rsidRPr="008070DB">
              <w:rPr>
                <w:rFonts w:eastAsiaTheme="minorHAnsi"/>
                <w:color w:val="000000"/>
                <w:sz w:val="18"/>
                <w:szCs w:val="18"/>
                <w:lang w:val="en-US" w:eastAsia="en-US"/>
                <w14:ligatures w14:val="standardContextual"/>
              </w:rPr>
              <w:t xml:space="preserve"> </w:t>
            </w:r>
            <w:r w:rsidRPr="008070DB">
              <w:rPr>
                <w:rFonts w:eastAsiaTheme="minorHAnsi"/>
                <w:i/>
                <w:iCs/>
                <w:color w:val="000000"/>
                <w:sz w:val="18"/>
                <w:szCs w:val="18"/>
                <w:lang w:val="en-US" w:eastAsia="en-US"/>
                <w14:ligatures w14:val="standardContextual"/>
              </w:rPr>
              <w:t>este structurată astfel încât expunerea rămasă de rambursat să fie decontată după anumite date de plată specificate şi termenii sunt revizuiţi astfel încât valoarea de piaţă a tranzacţiei să fie zero la datele specificate respective, scadenţa reziduală a tranzacţiei este egală cu perioada rămasă până la data următoarei revizuiri a termenilor; şi</w:t>
            </w:r>
          </w:p>
          <w:p w14:paraId="028A08AF"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 xml:space="preserve">un exerciţiu financiar (OneBusinessYear) = un an exprimat în zile lucrătoare utilizând convenţia privind zilele lucrătoare </w:t>
            </w:r>
            <w:proofErr w:type="gramStart"/>
            <w:r w:rsidRPr="008070DB">
              <w:rPr>
                <w:rFonts w:eastAsiaTheme="minorHAnsi"/>
                <w:i/>
                <w:iCs/>
                <w:color w:val="000000"/>
                <w:sz w:val="18"/>
                <w:szCs w:val="18"/>
                <w:lang w:val="en-US" w:eastAsia="en-US"/>
                <w14:ligatures w14:val="standardContextual"/>
              </w:rPr>
              <w:t>relevantă;</w:t>
            </w:r>
            <w:proofErr w:type="gramEnd"/>
          </w:p>
          <w:p w14:paraId="047BC2EC"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 xml:space="preserve">75.2. în cazul tranzacţiilor incluse în seturile de compensare menţionate la punctele 50 și 51, factorul de ajustare în funcţie de scadenţă este definit ca: </w:t>
            </w:r>
          </w:p>
          <w:p w14:paraId="1AF184B2"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noProof/>
                <w:color w:val="000000"/>
                <w:sz w:val="18"/>
                <w:szCs w:val="18"/>
                <w:lang w:val="en-US" w:eastAsia="en-US"/>
                <w14:ligatures w14:val="standardContextual"/>
              </w:rPr>
              <w:drawing>
                <wp:inline distT="0" distB="0" distL="0" distR="0" wp14:anchorId="489EB29A" wp14:editId="0B36A952">
                  <wp:extent cx="2061713" cy="429471"/>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13878" cy="440337"/>
                          </a:xfrm>
                          <a:prstGeom prst="rect">
                            <a:avLst/>
                          </a:prstGeom>
                          <a:noFill/>
                        </pic:spPr>
                      </pic:pic>
                    </a:graphicData>
                  </a:graphic>
                </wp:inline>
              </w:drawing>
            </w:r>
          </w:p>
          <w:p w14:paraId="3E7C6A89"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en-US" w:eastAsia="en-US"/>
                <w14:ligatures w14:val="standardContextual"/>
              </w:rPr>
            </w:pPr>
            <w:r w:rsidRPr="008070DB">
              <w:rPr>
                <w:rFonts w:eastAsiaTheme="minorHAnsi"/>
                <w:color w:val="000000"/>
                <w:sz w:val="18"/>
                <w:szCs w:val="18"/>
                <w:lang w:val="en-US" w:eastAsia="en-US"/>
                <w14:ligatures w14:val="standardContextual"/>
              </w:rPr>
              <w:t xml:space="preserve">unde: </w:t>
            </w:r>
          </w:p>
          <w:p w14:paraId="460FD81B" w14:textId="77777777"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 xml:space="preserve">MF = factorul de ajustare în funcţie de </w:t>
            </w:r>
            <w:proofErr w:type="gramStart"/>
            <w:r w:rsidRPr="008070DB">
              <w:rPr>
                <w:rFonts w:eastAsiaTheme="minorHAnsi"/>
                <w:i/>
                <w:iCs/>
                <w:color w:val="000000"/>
                <w:sz w:val="18"/>
                <w:szCs w:val="18"/>
                <w:lang w:val="en-US" w:eastAsia="en-US"/>
                <w14:ligatures w14:val="standardContextual"/>
              </w:rPr>
              <w:t>scadenţă;</w:t>
            </w:r>
            <w:proofErr w:type="gramEnd"/>
            <w:r w:rsidRPr="008070DB">
              <w:rPr>
                <w:rFonts w:eastAsiaTheme="minorHAnsi"/>
                <w:i/>
                <w:iCs/>
                <w:color w:val="000000"/>
                <w:sz w:val="18"/>
                <w:szCs w:val="18"/>
                <w:lang w:val="en-US" w:eastAsia="en-US"/>
                <w14:ligatures w14:val="standardContextual"/>
              </w:rPr>
              <w:t xml:space="preserve"> </w:t>
            </w:r>
          </w:p>
          <w:p w14:paraId="68E26D28" w14:textId="57A43782"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MPOR = perioada de risc de marjă aferentă setului de compensare determinată în conformitate cu punctele 1</w:t>
            </w:r>
            <w:r w:rsidR="00232A60">
              <w:rPr>
                <w:rFonts w:eastAsiaTheme="minorHAnsi"/>
                <w:i/>
                <w:iCs/>
                <w:color w:val="000000"/>
                <w:sz w:val="18"/>
                <w:szCs w:val="18"/>
                <w:lang w:val="en-US" w:eastAsia="en-US"/>
                <w14:ligatures w14:val="standardContextual"/>
              </w:rPr>
              <w:t>81</w:t>
            </w:r>
            <w:r w:rsidRPr="008070DB">
              <w:rPr>
                <w:rFonts w:eastAsiaTheme="minorHAnsi"/>
                <w:i/>
                <w:iCs/>
                <w:color w:val="000000"/>
                <w:sz w:val="18"/>
                <w:szCs w:val="18"/>
                <w:lang w:val="en-US" w:eastAsia="en-US"/>
                <w14:ligatures w14:val="standardContextual"/>
              </w:rPr>
              <w:t>-1</w:t>
            </w:r>
            <w:r w:rsidR="00232A60">
              <w:rPr>
                <w:rFonts w:eastAsiaTheme="minorHAnsi"/>
                <w:i/>
                <w:iCs/>
                <w:color w:val="000000"/>
                <w:sz w:val="18"/>
                <w:szCs w:val="18"/>
                <w:lang w:val="en-US" w:eastAsia="en-US"/>
                <w14:ligatures w14:val="standardContextual"/>
              </w:rPr>
              <w:t>86</w:t>
            </w:r>
            <w:r w:rsidRPr="008070DB">
              <w:rPr>
                <w:rFonts w:eastAsiaTheme="minorHAnsi"/>
                <w:i/>
                <w:iCs/>
                <w:color w:val="000000"/>
                <w:sz w:val="18"/>
                <w:szCs w:val="18"/>
                <w:lang w:val="en-US" w:eastAsia="en-US"/>
                <w14:ligatures w14:val="standardContextual"/>
              </w:rPr>
              <w:t xml:space="preserve">; și </w:t>
            </w:r>
          </w:p>
          <w:p w14:paraId="70DBD903" w14:textId="3AF8DB84" w:rsidR="002305DE" w:rsidRPr="008070DB" w:rsidRDefault="002305DE" w:rsidP="003456B0">
            <w:pPr>
              <w:tabs>
                <w:tab w:val="left" w:pos="272"/>
              </w:tabs>
              <w:autoSpaceDE w:val="0"/>
              <w:autoSpaceDN w:val="0"/>
              <w:adjustRightInd w:val="0"/>
              <w:jc w:val="both"/>
              <w:rPr>
                <w:rFonts w:eastAsiaTheme="minorHAnsi"/>
                <w:i/>
                <w:iCs/>
                <w:color w:val="000000"/>
                <w:sz w:val="18"/>
                <w:szCs w:val="18"/>
                <w:lang w:val="en-US" w:eastAsia="en-US"/>
                <w14:ligatures w14:val="standardContextual"/>
              </w:rPr>
            </w:pPr>
            <w:r w:rsidRPr="008070DB">
              <w:rPr>
                <w:rFonts w:eastAsiaTheme="minorHAnsi"/>
                <w:i/>
                <w:iCs/>
                <w:color w:val="000000"/>
                <w:sz w:val="18"/>
                <w:szCs w:val="18"/>
                <w:lang w:val="en-US" w:eastAsia="en-US"/>
                <w14:ligatures w14:val="standardContextual"/>
              </w:rPr>
              <w:t>un exerciţiu financiar (OneBusinessYear) = un an exprimat în zile lucrătoare utilizând convenţia privind zilele lucrătoare relevantă.</w:t>
            </w:r>
          </w:p>
          <w:p w14:paraId="48DD5D45" w14:textId="77777777" w:rsidR="001A4DE8" w:rsidRPr="008070DB" w:rsidRDefault="00376CEA"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7</w:t>
            </w:r>
            <w:r w:rsidR="006A4E76" w:rsidRPr="008070DB">
              <w:rPr>
                <w:rFonts w:eastAsiaTheme="minorHAnsi"/>
                <w:b/>
                <w:bCs/>
                <w:color w:val="000000"/>
                <w:sz w:val="18"/>
                <w:szCs w:val="18"/>
                <w:lang w:val="ro-MD" w:eastAsia="en-US"/>
                <w14:ligatures w14:val="standardContextual"/>
              </w:rPr>
              <w:t>6.</w:t>
            </w:r>
            <w:r w:rsidR="006A4E76" w:rsidRPr="008070DB">
              <w:rPr>
                <w:rFonts w:eastAsiaTheme="minorHAnsi"/>
                <w:color w:val="000000"/>
                <w:sz w:val="18"/>
                <w:szCs w:val="18"/>
                <w:lang w:val="ro-MD" w:eastAsia="en-US"/>
                <w14:ligatures w14:val="standardContextual"/>
              </w:rPr>
              <w:tab/>
              <w:t xml:space="preserve">În sensul punctului </w:t>
            </w:r>
            <w:r w:rsidRPr="008070DB">
              <w:rPr>
                <w:rFonts w:eastAsiaTheme="minorHAnsi"/>
                <w:color w:val="000000"/>
                <w:sz w:val="18"/>
                <w:szCs w:val="18"/>
                <w:lang w:val="ro-MD" w:eastAsia="en-US"/>
                <w14:ligatures w14:val="standardContextual"/>
              </w:rPr>
              <w:t>7</w:t>
            </w:r>
            <w:r w:rsidR="006A4E76" w:rsidRPr="008070DB">
              <w:rPr>
                <w:rFonts w:eastAsiaTheme="minorHAnsi"/>
                <w:color w:val="000000"/>
                <w:sz w:val="18"/>
                <w:szCs w:val="18"/>
                <w:lang w:val="ro-MD" w:eastAsia="en-US"/>
                <w14:ligatures w14:val="standardContextual"/>
              </w:rPr>
              <w:t>5, scadenţa reziduală este egală cu perioada rămasă până la data următoarei revizuiri a termenilor tranzacţiilor care sunt structurate astfel încât expunerile rămase să fie decontate după anumite date de plată specificate și ai căror termeni sunt revizuiţi astfel încât valoarea de piaţă a contractului să fie zero la datele specificate respective.</w:t>
            </w:r>
          </w:p>
          <w:p w14:paraId="6C553261"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4AD5E3BB"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13C8C2E7"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01E17433"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6FBB9D70"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4188E255"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61EE6A4C"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0D502F37"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475854F5"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3E28D16D"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2780F814"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0BB15E03"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2669BA83"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42988821"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71D94A3B"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31D75B05"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76D60070" w14:textId="77777777"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p w14:paraId="568953D0" w14:textId="57518E49" w:rsidR="002305DE" w:rsidRPr="008070DB" w:rsidRDefault="002305DE"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lastRenderedPageBreak/>
              <w:t xml:space="preserve">Prevederi existente - </w:t>
            </w:r>
            <w:r w:rsidRPr="008070DB">
              <w:rPr>
                <w:rFonts w:eastAsiaTheme="minorHAnsi"/>
                <w:i/>
                <w:iCs/>
                <w:color w:val="000000"/>
                <w:sz w:val="18"/>
                <w:szCs w:val="18"/>
                <w:lang w:val="ro-RO" w:eastAsia="en-US"/>
                <w14:ligatures w14:val="standardContextual"/>
              </w:rPr>
              <w:t xml:space="preserve">Regulamentul nr.220/2025, </w:t>
            </w:r>
            <w:r w:rsidRPr="008070DB">
              <w:rPr>
                <w:rFonts w:eastAsiaTheme="minorHAnsi"/>
                <w:b/>
                <w:bCs/>
                <w:i/>
                <w:iCs/>
                <w:color w:val="000000"/>
                <w:sz w:val="18"/>
                <w:szCs w:val="18"/>
                <w:lang w:val="ro-RO" w:eastAsia="en-US"/>
                <w14:ligatures w14:val="standardContextual"/>
              </w:rPr>
              <w:t>cu excepția pct.</w:t>
            </w:r>
            <w:r w:rsidRPr="008070DB">
              <w:rPr>
                <w:rFonts w:eastAsiaTheme="minorHAnsi"/>
                <w:b/>
                <w:bCs/>
                <w:i/>
                <w:iCs/>
                <w:color w:val="000000"/>
                <w:sz w:val="18"/>
                <w:szCs w:val="18"/>
                <w:lang w:val="en-US" w:eastAsia="en-US"/>
                <w14:ligatures w14:val="standardContextual"/>
              </w:rPr>
              <w:t>75</w:t>
            </w:r>
            <w:r w:rsidRPr="008070DB">
              <w:rPr>
                <w:rFonts w:eastAsiaTheme="minorHAnsi"/>
                <w:b/>
                <w:bCs/>
                <w:i/>
                <w:iCs/>
                <w:color w:val="000000"/>
                <w:sz w:val="18"/>
                <w:szCs w:val="18"/>
                <w:lang w:val="ro-RO" w:eastAsia="en-US"/>
                <w14:ligatures w14:val="standardContextual"/>
              </w:rPr>
              <w:t xml:space="preserve"> - 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p w14:paraId="6B7ABC3B" w14:textId="727796A9" w:rsidR="002305DE" w:rsidRPr="008070DB" w:rsidRDefault="002305DE" w:rsidP="003456B0">
            <w:pPr>
              <w:tabs>
                <w:tab w:val="left" w:pos="272"/>
              </w:tabs>
              <w:autoSpaceDE w:val="0"/>
              <w:autoSpaceDN w:val="0"/>
              <w:adjustRightInd w:val="0"/>
              <w:jc w:val="both"/>
              <w:rPr>
                <w:rFonts w:eastAsiaTheme="minorHAnsi"/>
                <w:color w:val="000000"/>
                <w:sz w:val="18"/>
                <w:szCs w:val="18"/>
                <w:lang w:val="ro-MD" w:eastAsia="en-US"/>
                <w14:ligatures w14:val="standardContextual"/>
              </w:rPr>
            </w:pPr>
          </w:p>
        </w:tc>
        <w:tc>
          <w:tcPr>
            <w:tcW w:w="1554" w:type="dxa"/>
          </w:tcPr>
          <w:p w14:paraId="5E942309" w14:textId="7FAF7F4A" w:rsidR="001A4DE8" w:rsidRPr="00A96E09" w:rsidRDefault="002305DE" w:rsidP="00C14AF6">
            <w:pPr>
              <w:jc w:val="both"/>
              <w:rPr>
                <w:sz w:val="18"/>
                <w:szCs w:val="18"/>
                <w:lang w:val="ro-MD"/>
              </w:rPr>
            </w:pPr>
            <w:r>
              <w:rPr>
                <w:sz w:val="18"/>
                <w:szCs w:val="18"/>
                <w:lang w:val="ro-MD"/>
              </w:rPr>
              <w:lastRenderedPageBreak/>
              <w:t>C</w:t>
            </w:r>
            <w:r w:rsidR="001A4DE8" w:rsidRPr="00A96E09">
              <w:rPr>
                <w:sz w:val="18"/>
                <w:szCs w:val="18"/>
                <w:lang w:val="ro-MD"/>
              </w:rPr>
              <w:t>ompatibil</w:t>
            </w:r>
          </w:p>
        </w:tc>
        <w:tc>
          <w:tcPr>
            <w:tcW w:w="4683" w:type="dxa"/>
            <w:tcBorders>
              <w:top w:val="single" w:sz="4" w:space="0" w:color="auto"/>
              <w:bottom w:val="single" w:sz="4" w:space="0" w:color="auto"/>
            </w:tcBorders>
          </w:tcPr>
          <w:p w14:paraId="49E06F99" w14:textId="0AB34015" w:rsidR="001A4DE8" w:rsidRPr="00A96E09" w:rsidRDefault="001A4DE8" w:rsidP="00C14AF6">
            <w:pPr>
              <w:rPr>
                <w:sz w:val="18"/>
                <w:szCs w:val="18"/>
                <w:lang w:val="ro-MD"/>
              </w:rPr>
            </w:pPr>
          </w:p>
        </w:tc>
      </w:tr>
      <w:tr w:rsidR="001A4DE8" w:rsidRPr="00A96E09" w14:paraId="5F0EB5A2" w14:textId="77777777" w:rsidTr="00C14AF6">
        <w:trPr>
          <w:trHeight w:val="918"/>
        </w:trPr>
        <w:tc>
          <w:tcPr>
            <w:tcW w:w="3866" w:type="dxa"/>
          </w:tcPr>
          <w:p w14:paraId="5CCE43DC" w14:textId="30F9F8C5"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280 </w:t>
            </w:r>
            <w:r w:rsidRPr="00A96E09">
              <w:rPr>
                <w:rFonts w:ascii="Times New Roman" w:hAnsi="Times New Roman"/>
                <w:b/>
                <w:bCs/>
                <w:color w:val="000000"/>
                <w:sz w:val="18"/>
                <w:szCs w:val="18"/>
              </w:rPr>
              <w:t>Coeficientul factorului impus de autorităţile de supraveghere aferent setului de acoperire a riscului</w:t>
            </w:r>
          </w:p>
          <w:p w14:paraId="700E2D7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Pentru calcularea majorării aferente unui set de acoperire a riscului, astfel cum este menţionată la articolele 280a-280f, coeficientul factorului impus de autorităţile de supraveghere aferent setului de acoperire a riscului „є” este următorul: </w:t>
            </w:r>
          </w:p>
          <w:tbl>
            <w:tblPr>
              <w:tblStyle w:val="TableGrid"/>
              <w:tblW w:w="4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
              <w:gridCol w:w="382"/>
              <w:gridCol w:w="3606"/>
            </w:tblGrid>
            <w:tr w:rsidR="001A4DE8" w:rsidRPr="00A96E09" w14:paraId="03AAE498" w14:textId="77777777" w:rsidTr="00B11411">
              <w:trPr>
                <w:trHeight w:val="413"/>
              </w:trPr>
              <w:tc>
                <w:tcPr>
                  <w:tcW w:w="240" w:type="dxa"/>
                  <w:vMerge w:val="restart"/>
                </w:tcPr>
                <w:p w14:paraId="6AF3AA5D"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p w14:paraId="20DB942B"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22CFFC21"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є =</w:t>
                  </w:r>
                </w:p>
              </w:tc>
              <w:tc>
                <w:tcPr>
                  <w:tcW w:w="382" w:type="dxa"/>
                  <w:vMerge w:val="restart"/>
                </w:tcPr>
                <w:p w14:paraId="200854E8"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w:t>
                  </w:r>
                </w:p>
              </w:tc>
              <w:tc>
                <w:tcPr>
                  <w:tcW w:w="3606" w:type="dxa"/>
                </w:tcPr>
                <w:p w14:paraId="7AAE16BA"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1 pentru seturile de acoperire a riscurilor stabilite în conformitate cu articolul 277a alin. (1)</w:t>
                  </w:r>
                </w:p>
              </w:tc>
            </w:tr>
            <w:tr w:rsidR="001A4DE8" w:rsidRPr="00A96E09" w14:paraId="6B933654" w14:textId="77777777" w:rsidTr="00B11411">
              <w:trPr>
                <w:trHeight w:val="182"/>
              </w:trPr>
              <w:tc>
                <w:tcPr>
                  <w:tcW w:w="240" w:type="dxa"/>
                  <w:vMerge/>
                </w:tcPr>
                <w:p w14:paraId="4E105AFB"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382" w:type="dxa"/>
                  <w:vMerge/>
                </w:tcPr>
                <w:p w14:paraId="647F3F20"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3606" w:type="dxa"/>
                </w:tcPr>
                <w:p w14:paraId="00A596B4"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5 pentru seturile de acoperire a riscurilor stabilite în conformitate cu articolul 277a alin. (2) litera (a)</w:t>
                  </w:r>
                </w:p>
              </w:tc>
            </w:tr>
            <w:tr w:rsidR="001A4DE8" w:rsidRPr="00A96E09" w14:paraId="7F3C7472" w14:textId="77777777" w:rsidTr="00B11411">
              <w:trPr>
                <w:trHeight w:val="182"/>
              </w:trPr>
              <w:tc>
                <w:tcPr>
                  <w:tcW w:w="240" w:type="dxa"/>
                  <w:vMerge/>
                </w:tcPr>
                <w:p w14:paraId="0998248A"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382" w:type="dxa"/>
                  <w:vMerge/>
                </w:tcPr>
                <w:p w14:paraId="2CBE7011"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3606" w:type="dxa"/>
                </w:tcPr>
                <w:p w14:paraId="20DDFCEB"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0,5 pentru seturile de acoperire a riscurilor stabilite în conformitate cu articolul 277a alin. (2) litera (b)</w:t>
                  </w:r>
                </w:p>
              </w:tc>
            </w:tr>
          </w:tbl>
          <w:p w14:paraId="7FDC0C74" w14:textId="77777777" w:rsidR="001A4DE8" w:rsidRPr="00A96E09" w:rsidRDefault="001A4DE8" w:rsidP="003456B0">
            <w:pPr>
              <w:pStyle w:val="CM4"/>
              <w:spacing w:before="60" w:after="60"/>
              <w:jc w:val="both"/>
              <w:rPr>
                <w:rFonts w:ascii="Times New Roman" w:hAnsi="Times New Roman"/>
                <w:i/>
                <w:iCs/>
                <w:color w:val="000000"/>
                <w:sz w:val="18"/>
                <w:szCs w:val="18"/>
              </w:rPr>
            </w:pPr>
          </w:p>
        </w:tc>
        <w:tc>
          <w:tcPr>
            <w:tcW w:w="4356" w:type="dxa"/>
          </w:tcPr>
          <w:p w14:paraId="468BCF17" w14:textId="62B04C4A" w:rsidR="001A4DE8" w:rsidRPr="008070DB" w:rsidRDefault="00376CEA"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7</w:t>
            </w:r>
            <w:r w:rsidR="00EF7C8F" w:rsidRPr="008070DB">
              <w:rPr>
                <w:rFonts w:ascii="Times New Roman" w:hAnsi="Times New Roman" w:cs="Times New Roman"/>
                <w:b/>
                <w:bCs/>
                <w:sz w:val="18"/>
                <w:szCs w:val="18"/>
              </w:rPr>
              <w:t>7</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Pentru calcularea majorării aferente unui set de acoperire a riscului, astfel cum este menţionată la punctele </w:t>
            </w:r>
            <w:r w:rsidR="00C76A7C" w:rsidRPr="008070DB">
              <w:rPr>
                <w:rFonts w:ascii="Times New Roman" w:hAnsi="Times New Roman" w:cs="Times New Roman"/>
                <w:sz w:val="18"/>
                <w:szCs w:val="18"/>
              </w:rPr>
              <w:t>7</w:t>
            </w:r>
            <w:r w:rsidR="001A59F8" w:rsidRPr="008070DB">
              <w:rPr>
                <w:rFonts w:ascii="Times New Roman" w:hAnsi="Times New Roman" w:cs="Times New Roman"/>
                <w:sz w:val="18"/>
                <w:szCs w:val="18"/>
              </w:rPr>
              <w:t>8</w:t>
            </w:r>
            <w:r w:rsidR="001A4DE8" w:rsidRPr="008070DB">
              <w:rPr>
                <w:rFonts w:ascii="Times New Roman" w:hAnsi="Times New Roman" w:cs="Times New Roman"/>
                <w:sz w:val="18"/>
                <w:szCs w:val="18"/>
              </w:rPr>
              <w:t>-</w:t>
            </w:r>
            <w:r w:rsidR="00C76A7C" w:rsidRPr="008070DB">
              <w:rPr>
                <w:rFonts w:ascii="Times New Roman" w:hAnsi="Times New Roman" w:cs="Times New Roman"/>
                <w:sz w:val="18"/>
                <w:szCs w:val="18"/>
              </w:rPr>
              <w:t>9</w:t>
            </w:r>
            <w:r w:rsidR="001A4DE8" w:rsidRPr="008070DB">
              <w:rPr>
                <w:rFonts w:ascii="Times New Roman" w:hAnsi="Times New Roman" w:cs="Times New Roman"/>
                <w:sz w:val="18"/>
                <w:szCs w:val="18"/>
              </w:rPr>
              <w:t xml:space="preserve">8, coeficientul factorului impus de Banca Națională a Moldovei aferent setului de acoperire a riscului „є” este următorul: </w:t>
            </w:r>
          </w:p>
          <w:tbl>
            <w:tblPr>
              <w:tblStyle w:val="TableGrid"/>
              <w:tblW w:w="5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
              <w:gridCol w:w="477"/>
              <w:gridCol w:w="4455"/>
            </w:tblGrid>
            <w:tr w:rsidR="001A4DE8" w:rsidRPr="00EB7E01" w14:paraId="578F861D" w14:textId="77777777" w:rsidTr="00B11411">
              <w:trPr>
                <w:trHeight w:val="445"/>
              </w:trPr>
              <w:tc>
                <w:tcPr>
                  <w:tcW w:w="398" w:type="dxa"/>
                  <w:vMerge w:val="restart"/>
                </w:tcPr>
                <w:p w14:paraId="7C948CD4"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p w14:paraId="69EBA9AF" w14:textId="77777777" w:rsidR="001A4DE8" w:rsidRPr="008070DB" w:rsidRDefault="001A4DE8" w:rsidP="00EB7E01">
                  <w:pPr>
                    <w:pStyle w:val="Default"/>
                    <w:framePr w:hSpace="180" w:wrap="around" w:vAnchor="text" w:hAnchor="text" w:y="1"/>
                    <w:suppressOverlap/>
                    <w:jc w:val="both"/>
                    <w:rPr>
                      <w:rFonts w:ascii="Times New Roman" w:hAnsi="Times New Roman" w:cs="Times New Roman"/>
                      <w:sz w:val="18"/>
                      <w:szCs w:val="18"/>
                    </w:rPr>
                  </w:pPr>
                </w:p>
                <w:p w14:paraId="10D98468"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8070DB">
                    <w:rPr>
                      <w:rFonts w:ascii="Times New Roman" w:hAnsi="Times New Roman"/>
                      <w:color w:val="000000"/>
                      <w:sz w:val="18"/>
                      <w:szCs w:val="18"/>
                    </w:rPr>
                    <w:t>є =</w:t>
                  </w:r>
                </w:p>
              </w:tc>
              <w:tc>
                <w:tcPr>
                  <w:tcW w:w="477" w:type="dxa"/>
                  <w:vMerge w:val="restart"/>
                </w:tcPr>
                <w:p w14:paraId="03B9377E"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8070DB">
                    <w:rPr>
                      <w:rFonts w:ascii="Times New Roman" w:hAnsi="Times New Roman"/>
                      <w:color w:val="000000"/>
                      <w:sz w:val="18"/>
                      <w:szCs w:val="18"/>
                    </w:rPr>
                    <w:t>{</w:t>
                  </w:r>
                </w:p>
              </w:tc>
              <w:tc>
                <w:tcPr>
                  <w:tcW w:w="4455" w:type="dxa"/>
                </w:tcPr>
                <w:p w14:paraId="7392889B" w14:textId="47ADA53E"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8070DB">
                    <w:rPr>
                      <w:rFonts w:ascii="Times New Roman" w:hAnsi="Times New Roman"/>
                      <w:color w:val="000000"/>
                      <w:sz w:val="18"/>
                      <w:szCs w:val="18"/>
                    </w:rPr>
                    <w:t xml:space="preserve">1 pentru seturile de acoperire a riscurilor stabilite în conformitate cu punctele </w:t>
                  </w:r>
                  <w:r w:rsidR="00C76A7C" w:rsidRPr="008070DB">
                    <w:rPr>
                      <w:rFonts w:ascii="Times New Roman" w:hAnsi="Times New Roman"/>
                      <w:color w:val="000000"/>
                      <w:sz w:val="18"/>
                      <w:szCs w:val="18"/>
                    </w:rPr>
                    <w:t>5</w:t>
                  </w:r>
                  <w:r w:rsidR="001A59F8" w:rsidRPr="008070DB">
                    <w:rPr>
                      <w:rFonts w:ascii="Times New Roman" w:hAnsi="Times New Roman"/>
                      <w:color w:val="000000"/>
                      <w:sz w:val="18"/>
                      <w:szCs w:val="18"/>
                    </w:rPr>
                    <w:t>9</w:t>
                  </w:r>
                  <w:r w:rsidRPr="008070DB">
                    <w:rPr>
                      <w:rFonts w:ascii="Times New Roman" w:hAnsi="Times New Roman"/>
                      <w:color w:val="000000"/>
                      <w:sz w:val="18"/>
                      <w:szCs w:val="18"/>
                    </w:rPr>
                    <w:t xml:space="preserve"> și </w:t>
                  </w:r>
                  <w:r w:rsidR="00C76A7C" w:rsidRPr="008070DB">
                    <w:rPr>
                      <w:rFonts w:ascii="Times New Roman" w:hAnsi="Times New Roman"/>
                      <w:color w:val="000000"/>
                      <w:sz w:val="18"/>
                      <w:szCs w:val="18"/>
                    </w:rPr>
                    <w:t>6</w:t>
                  </w:r>
                  <w:r w:rsidR="001A59F8" w:rsidRPr="008070DB">
                    <w:rPr>
                      <w:rFonts w:ascii="Times New Roman" w:hAnsi="Times New Roman"/>
                      <w:color w:val="000000"/>
                      <w:sz w:val="18"/>
                      <w:szCs w:val="18"/>
                    </w:rPr>
                    <w:t>0</w:t>
                  </w:r>
                </w:p>
              </w:tc>
            </w:tr>
            <w:tr w:rsidR="001A4DE8" w:rsidRPr="00EB7E01" w14:paraId="70BBD7CC" w14:textId="77777777" w:rsidTr="00B11411">
              <w:trPr>
                <w:trHeight w:val="196"/>
              </w:trPr>
              <w:tc>
                <w:tcPr>
                  <w:tcW w:w="398" w:type="dxa"/>
                  <w:vMerge/>
                </w:tcPr>
                <w:p w14:paraId="3818DE47"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477" w:type="dxa"/>
                  <w:vMerge/>
                </w:tcPr>
                <w:p w14:paraId="2D14182B"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4455" w:type="dxa"/>
                </w:tcPr>
                <w:p w14:paraId="76F0034F" w14:textId="1F4C90D1"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8070DB">
                    <w:rPr>
                      <w:rFonts w:ascii="Times New Roman" w:hAnsi="Times New Roman"/>
                      <w:color w:val="000000"/>
                      <w:sz w:val="18"/>
                      <w:szCs w:val="18"/>
                    </w:rPr>
                    <w:t xml:space="preserve">5 pentru seturile de acoperire a riscurilor stabilite în conformitate cu punctul </w:t>
                  </w:r>
                  <w:r w:rsidR="00C76A7C" w:rsidRPr="008070DB">
                    <w:rPr>
                      <w:rFonts w:ascii="Times New Roman" w:hAnsi="Times New Roman"/>
                      <w:color w:val="000000"/>
                      <w:sz w:val="18"/>
                      <w:szCs w:val="18"/>
                    </w:rPr>
                    <w:t>6</w:t>
                  </w:r>
                  <w:r w:rsidR="001A59F8" w:rsidRPr="008070DB">
                    <w:rPr>
                      <w:rFonts w:ascii="Times New Roman" w:hAnsi="Times New Roman"/>
                      <w:color w:val="000000"/>
                      <w:sz w:val="18"/>
                      <w:szCs w:val="18"/>
                    </w:rPr>
                    <w:t>1</w:t>
                  </w:r>
                  <w:r w:rsidR="0035372B" w:rsidRPr="008070DB">
                    <w:rPr>
                      <w:rFonts w:ascii="Times New Roman" w:hAnsi="Times New Roman"/>
                      <w:color w:val="000000"/>
                      <w:sz w:val="18"/>
                      <w:szCs w:val="18"/>
                    </w:rPr>
                    <w:t xml:space="preserve">, subpunctul </w:t>
                  </w:r>
                  <w:r w:rsidR="00C76A7C" w:rsidRPr="008070DB">
                    <w:rPr>
                      <w:rFonts w:ascii="Times New Roman" w:hAnsi="Times New Roman"/>
                      <w:color w:val="000000"/>
                      <w:sz w:val="18"/>
                      <w:szCs w:val="18"/>
                    </w:rPr>
                    <w:t>6</w:t>
                  </w:r>
                  <w:r w:rsidR="001A59F8" w:rsidRPr="008070DB">
                    <w:rPr>
                      <w:rFonts w:ascii="Times New Roman" w:hAnsi="Times New Roman"/>
                      <w:color w:val="000000"/>
                      <w:sz w:val="18"/>
                      <w:szCs w:val="18"/>
                    </w:rPr>
                    <w:t>1</w:t>
                  </w:r>
                  <w:r w:rsidR="00B67C56" w:rsidRPr="008070DB">
                    <w:rPr>
                      <w:rFonts w:ascii="Times New Roman" w:hAnsi="Times New Roman"/>
                      <w:color w:val="000000"/>
                      <w:sz w:val="18"/>
                      <w:szCs w:val="18"/>
                    </w:rPr>
                    <w:t>.</w:t>
                  </w:r>
                  <w:r w:rsidRPr="008070DB">
                    <w:rPr>
                      <w:rFonts w:ascii="Times New Roman" w:hAnsi="Times New Roman"/>
                      <w:color w:val="000000"/>
                      <w:sz w:val="18"/>
                      <w:szCs w:val="18"/>
                    </w:rPr>
                    <w:t>1</w:t>
                  </w:r>
                  <w:r w:rsidR="00B67C56" w:rsidRPr="008070DB">
                    <w:rPr>
                      <w:rFonts w:ascii="Times New Roman" w:hAnsi="Times New Roman"/>
                      <w:color w:val="000000"/>
                      <w:sz w:val="18"/>
                      <w:szCs w:val="18"/>
                    </w:rPr>
                    <w:t>.</w:t>
                  </w:r>
                </w:p>
              </w:tc>
            </w:tr>
            <w:tr w:rsidR="001A4DE8" w:rsidRPr="00EB7E01" w14:paraId="69CA9531" w14:textId="77777777" w:rsidTr="00B11411">
              <w:trPr>
                <w:trHeight w:val="196"/>
              </w:trPr>
              <w:tc>
                <w:tcPr>
                  <w:tcW w:w="398" w:type="dxa"/>
                  <w:vMerge/>
                </w:tcPr>
                <w:p w14:paraId="71528EBD"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477" w:type="dxa"/>
                  <w:vMerge/>
                </w:tcPr>
                <w:p w14:paraId="073ADC94" w14:textId="77777777"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p>
              </w:tc>
              <w:tc>
                <w:tcPr>
                  <w:tcW w:w="4455" w:type="dxa"/>
                </w:tcPr>
                <w:p w14:paraId="782CCD3D" w14:textId="20F60244" w:rsidR="001A4DE8" w:rsidRPr="008070DB"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8070DB">
                    <w:rPr>
                      <w:rFonts w:ascii="Times New Roman" w:hAnsi="Times New Roman"/>
                      <w:color w:val="000000"/>
                      <w:sz w:val="18"/>
                      <w:szCs w:val="18"/>
                    </w:rPr>
                    <w:t xml:space="preserve">0,5 pentru seturile de acoperire a riscurilor stabilite în conformitate cu </w:t>
                  </w:r>
                  <w:r w:rsidR="0035372B" w:rsidRPr="008070DB">
                    <w:rPr>
                      <w:rFonts w:ascii="Times New Roman" w:hAnsi="Times New Roman"/>
                      <w:color w:val="000000"/>
                      <w:sz w:val="18"/>
                      <w:szCs w:val="18"/>
                    </w:rPr>
                    <w:t xml:space="preserve">punctul </w:t>
                  </w:r>
                  <w:r w:rsidR="00C76A7C" w:rsidRPr="008070DB">
                    <w:rPr>
                      <w:rFonts w:ascii="Times New Roman" w:hAnsi="Times New Roman"/>
                      <w:color w:val="000000"/>
                      <w:sz w:val="18"/>
                      <w:szCs w:val="18"/>
                    </w:rPr>
                    <w:t>6</w:t>
                  </w:r>
                  <w:r w:rsidR="001A59F8" w:rsidRPr="008070DB">
                    <w:rPr>
                      <w:rFonts w:ascii="Times New Roman" w:hAnsi="Times New Roman"/>
                      <w:color w:val="000000"/>
                      <w:sz w:val="18"/>
                      <w:szCs w:val="18"/>
                    </w:rPr>
                    <w:t>1</w:t>
                  </w:r>
                  <w:r w:rsidR="0035372B" w:rsidRPr="008070DB">
                    <w:rPr>
                      <w:rFonts w:ascii="Times New Roman" w:hAnsi="Times New Roman"/>
                      <w:color w:val="000000"/>
                      <w:sz w:val="18"/>
                      <w:szCs w:val="18"/>
                    </w:rPr>
                    <w:t xml:space="preserve">, subpunctul </w:t>
                  </w:r>
                  <w:r w:rsidR="00C76A7C" w:rsidRPr="008070DB">
                    <w:rPr>
                      <w:rFonts w:ascii="Times New Roman" w:hAnsi="Times New Roman"/>
                      <w:color w:val="000000"/>
                      <w:sz w:val="18"/>
                      <w:szCs w:val="18"/>
                    </w:rPr>
                    <w:t>6</w:t>
                  </w:r>
                  <w:r w:rsidR="001A59F8" w:rsidRPr="008070DB">
                    <w:rPr>
                      <w:rFonts w:ascii="Times New Roman" w:hAnsi="Times New Roman"/>
                      <w:color w:val="000000"/>
                      <w:sz w:val="18"/>
                      <w:szCs w:val="18"/>
                    </w:rPr>
                    <w:t>1</w:t>
                  </w:r>
                  <w:r w:rsidR="0035372B" w:rsidRPr="008070DB">
                    <w:rPr>
                      <w:rFonts w:ascii="Times New Roman" w:hAnsi="Times New Roman"/>
                      <w:color w:val="000000"/>
                      <w:sz w:val="18"/>
                      <w:szCs w:val="18"/>
                    </w:rPr>
                    <w:t xml:space="preserve">.2. </w:t>
                  </w:r>
                </w:p>
              </w:tc>
            </w:tr>
          </w:tbl>
          <w:p w14:paraId="1BCA78B5" w14:textId="77777777" w:rsidR="001A4DE8" w:rsidRPr="008070DB" w:rsidRDefault="001A4DE8" w:rsidP="003456B0">
            <w:pPr>
              <w:pStyle w:val="Default"/>
              <w:ind w:firstLine="567"/>
              <w:jc w:val="both"/>
              <w:rPr>
                <w:rFonts w:ascii="Times New Roman" w:hAnsi="Times New Roman" w:cs="Times New Roman"/>
                <w:sz w:val="18"/>
                <w:szCs w:val="18"/>
              </w:rPr>
            </w:pPr>
          </w:p>
          <w:p w14:paraId="41856D8D" w14:textId="77777777" w:rsidR="001A4DE8" w:rsidRPr="008070DB" w:rsidRDefault="001A4DE8" w:rsidP="003456B0">
            <w:pPr>
              <w:pStyle w:val="Default"/>
              <w:ind w:firstLine="567"/>
              <w:jc w:val="both"/>
              <w:rPr>
                <w:rFonts w:ascii="Times New Roman" w:hAnsi="Times New Roman" w:cs="Times New Roman"/>
                <w:sz w:val="18"/>
                <w:szCs w:val="18"/>
              </w:rPr>
            </w:pPr>
          </w:p>
          <w:p w14:paraId="36C8A419" w14:textId="77777777" w:rsidR="001A4DE8" w:rsidRPr="008070DB" w:rsidRDefault="001A4DE8" w:rsidP="003456B0">
            <w:pPr>
              <w:tabs>
                <w:tab w:val="left" w:pos="851"/>
              </w:tabs>
              <w:ind w:firstLine="426"/>
              <w:jc w:val="both"/>
              <w:rPr>
                <w:iCs/>
                <w:color w:val="FF0000"/>
                <w:sz w:val="18"/>
                <w:szCs w:val="18"/>
                <w:lang w:val="ro-MD"/>
              </w:rPr>
            </w:pPr>
          </w:p>
          <w:p w14:paraId="7602E564"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EB1F2B1"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7D6B4E7" w14:textId="36914F39"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42E6D803" w14:textId="4A4C1FCF" w:rsidR="001A4DE8" w:rsidRPr="00A96E09" w:rsidRDefault="001A4DE8" w:rsidP="00C14AF6">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0352A3AA" w14:textId="77777777" w:rsidR="001A4DE8" w:rsidRPr="00A96E09" w:rsidRDefault="001A4DE8" w:rsidP="00C14AF6">
            <w:pPr>
              <w:jc w:val="both"/>
              <w:rPr>
                <w:sz w:val="18"/>
                <w:szCs w:val="18"/>
                <w:lang w:val="ro-MD"/>
              </w:rPr>
            </w:pPr>
          </w:p>
        </w:tc>
      </w:tr>
      <w:tr w:rsidR="001A4DE8" w:rsidRPr="00A96E09" w14:paraId="0E6AF579" w14:textId="77777777" w:rsidTr="00C14AF6">
        <w:trPr>
          <w:trHeight w:val="918"/>
        </w:trPr>
        <w:tc>
          <w:tcPr>
            <w:tcW w:w="3866" w:type="dxa"/>
          </w:tcPr>
          <w:p w14:paraId="597176AF" w14:textId="479874C3"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t xml:space="preserve">Articolul 280a </w:t>
            </w:r>
            <w:r w:rsidRPr="00A96E09">
              <w:rPr>
                <w:rFonts w:ascii="Times New Roman" w:hAnsi="Times New Roman"/>
                <w:b/>
                <w:bCs/>
                <w:color w:val="000000"/>
                <w:sz w:val="18"/>
                <w:szCs w:val="18"/>
              </w:rPr>
              <w:t>Majorarea pentru categoria de risc de rată a dobânzii</w:t>
            </w:r>
          </w:p>
          <w:p w14:paraId="70E3045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În sensul articolului 278, instituţiile calculează majorarea aferentă categoriei de risc de rată a dobânzii pentru un anumit set de compensare după cum urmează: </w:t>
            </w:r>
          </w:p>
          <w:p w14:paraId="502B807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64C9E9F3" wp14:editId="3120EA51">
                  <wp:extent cx="1164566" cy="266662"/>
                  <wp:effectExtent l="0" t="0" r="0" b="635"/>
                  <wp:docPr id="1117064834"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92561" cy="273072"/>
                          </a:xfrm>
                          <a:prstGeom prst="rect">
                            <a:avLst/>
                          </a:prstGeom>
                          <a:noFill/>
                          <a:ln>
                            <a:noFill/>
                          </a:ln>
                        </pic:spPr>
                      </pic:pic>
                    </a:graphicData>
                  </a:graphic>
                </wp:inline>
              </w:drawing>
            </w:r>
          </w:p>
          <w:p w14:paraId="2FEC018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0C02E5D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AddOn</w:t>
            </w:r>
            <w:r w:rsidRPr="00A96E09">
              <w:rPr>
                <w:rFonts w:ascii="Times New Roman" w:hAnsi="Times New Roman"/>
                <w:color w:val="000000"/>
                <w:sz w:val="18"/>
                <w:szCs w:val="18"/>
                <w:vertAlign w:val="superscript"/>
              </w:rPr>
              <w:t>IR</w:t>
            </w:r>
            <w:r w:rsidRPr="00A96E09">
              <w:rPr>
                <w:rFonts w:ascii="Times New Roman" w:hAnsi="Times New Roman"/>
                <w:color w:val="000000"/>
                <w:sz w:val="18"/>
                <w:szCs w:val="18"/>
              </w:rPr>
              <w:t xml:space="preserve"> = majorarea categoriei de risc de rată a </w:t>
            </w:r>
            <w:proofErr w:type="gramStart"/>
            <w:r w:rsidRPr="00A96E09">
              <w:rPr>
                <w:rFonts w:ascii="Times New Roman" w:hAnsi="Times New Roman"/>
                <w:color w:val="000000"/>
                <w:sz w:val="18"/>
                <w:szCs w:val="18"/>
              </w:rPr>
              <w:t>dobânzii;</w:t>
            </w:r>
            <w:proofErr w:type="gramEnd"/>
            <w:r w:rsidRPr="00A96E09">
              <w:rPr>
                <w:rFonts w:ascii="Times New Roman" w:hAnsi="Times New Roman"/>
                <w:color w:val="000000"/>
                <w:sz w:val="18"/>
                <w:szCs w:val="18"/>
              </w:rPr>
              <w:t xml:space="preserve"> </w:t>
            </w:r>
          </w:p>
          <w:p w14:paraId="66384E7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j = indicele care desemnează toate seturile de acoperire a riscului de rată a dobânzii stabilite în conformitate cu articolul 277a alineatul (1) litera (a) și cu articolul 277a alineatul (2) pentru setul de compensare; și </w:t>
            </w:r>
          </w:p>
          <w:p w14:paraId="1927BBA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56C9F380" wp14:editId="1C8F59AE">
                  <wp:extent cx="508959" cy="201663"/>
                  <wp:effectExtent l="0" t="0" r="5715" b="8255"/>
                  <wp:docPr id="14714197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506" cy="208616"/>
                          </a:xfrm>
                          <a:prstGeom prst="rect">
                            <a:avLst/>
                          </a:prstGeom>
                          <a:noFill/>
                        </pic:spPr>
                      </pic:pic>
                    </a:graphicData>
                  </a:graphic>
                </wp:inline>
              </w:drawing>
            </w:r>
            <w:r w:rsidRPr="00A96E09">
              <w:rPr>
                <w:rFonts w:ascii="Times New Roman" w:hAnsi="Times New Roman"/>
                <w:color w:val="000000"/>
                <w:sz w:val="18"/>
                <w:szCs w:val="18"/>
              </w:rPr>
              <w:t xml:space="preserve">= majorarea categoriei de risc de rată a dobânzii pentru setul de acoperire a riscului j calculat în conformitate cu alineatul (2). </w:t>
            </w:r>
          </w:p>
          <w:p w14:paraId="24577A0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Instituţiile calculează majorarea pentru setul de acoperire a riscului j aferentă categoriei de risc de rată a dobânzii astfel: </w:t>
            </w:r>
          </w:p>
          <w:p w14:paraId="4AF1D98D"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42703C6E" wp14:editId="66CB2818">
                  <wp:extent cx="1794295" cy="242625"/>
                  <wp:effectExtent l="0" t="0" r="0" b="5080"/>
                  <wp:docPr id="19199200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18831" cy="245943"/>
                          </a:xfrm>
                          <a:prstGeom prst="rect">
                            <a:avLst/>
                          </a:prstGeom>
                          <a:noFill/>
                        </pic:spPr>
                      </pic:pic>
                    </a:graphicData>
                  </a:graphic>
                </wp:inline>
              </w:drawing>
            </w:r>
          </w:p>
          <w:p w14:paraId="3B33E31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09BE6A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є j = coeficientul factorului impus de autorităţile de supraveghere aferent setului de acoperire a riscului pentru setul de acoperire a riscului j determinat în conformitate cu valoarea aplicabilă specificată la articolul </w:t>
            </w:r>
            <w:proofErr w:type="gramStart"/>
            <w:r w:rsidRPr="00A96E09">
              <w:rPr>
                <w:rFonts w:ascii="Times New Roman" w:hAnsi="Times New Roman"/>
                <w:color w:val="000000"/>
                <w:sz w:val="18"/>
                <w:szCs w:val="18"/>
              </w:rPr>
              <w:t>280;</w:t>
            </w:r>
            <w:proofErr w:type="gramEnd"/>
            <w:r w:rsidRPr="00A96E09">
              <w:rPr>
                <w:rFonts w:ascii="Times New Roman" w:hAnsi="Times New Roman"/>
                <w:color w:val="000000"/>
                <w:sz w:val="18"/>
                <w:szCs w:val="18"/>
              </w:rPr>
              <w:t xml:space="preserve"> </w:t>
            </w:r>
          </w:p>
          <w:p w14:paraId="07EBC9A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SF</w:t>
            </w:r>
            <w:r w:rsidRPr="00A96E09">
              <w:rPr>
                <w:rFonts w:ascii="Times New Roman" w:hAnsi="Times New Roman"/>
                <w:color w:val="000000"/>
                <w:sz w:val="18"/>
                <w:szCs w:val="18"/>
                <w:vertAlign w:val="superscript"/>
              </w:rPr>
              <w:t>IR</w:t>
            </w:r>
            <w:r w:rsidRPr="00A96E09">
              <w:rPr>
                <w:rFonts w:ascii="Times New Roman" w:hAnsi="Times New Roman"/>
                <w:color w:val="000000"/>
                <w:sz w:val="18"/>
                <w:szCs w:val="18"/>
              </w:rPr>
              <w:t xml:space="preserve"> = factorul impus de autorităţile de supraveghere pentru categoria de risc de rată a dobânzii cu o valoare egală cu 0,5 %; și </w:t>
            </w:r>
          </w:p>
          <w:p w14:paraId="7BA45F6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1ACDFC49" wp14:editId="6B542EA5">
                  <wp:extent cx="494894" cy="207034"/>
                  <wp:effectExtent l="0" t="0" r="635" b="2540"/>
                  <wp:docPr id="12702480"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3570" cy="214847"/>
                          </a:xfrm>
                          <a:prstGeom prst="rect">
                            <a:avLst/>
                          </a:prstGeom>
                          <a:noFill/>
                          <a:ln>
                            <a:noFill/>
                          </a:ln>
                        </pic:spPr>
                      </pic:pic>
                    </a:graphicData>
                  </a:graphic>
                </wp:inline>
              </w:drawing>
            </w:r>
            <w:r w:rsidRPr="00A96E09">
              <w:rPr>
                <w:rFonts w:ascii="Times New Roman" w:hAnsi="Times New Roman"/>
                <w:color w:val="000000"/>
                <w:sz w:val="18"/>
                <w:szCs w:val="18"/>
              </w:rPr>
              <w:t xml:space="preserve"> = valoarea noţională efectivă a setului de acoperire a riscului j calculată în conformitate cu alineatul (3). </w:t>
            </w:r>
          </w:p>
          <w:p w14:paraId="6BED4B7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(3) Pentru a calcula valoarea noţională efectivă a setului de acoperire a riscului j, instituţiile încadrează mai întâi fiecare tranzacţie din setul de acoperire a riscului în banda corespunzătoare din tabelul 2. Instituţiile fac acest lucru pe baza datei de încetare a fiecărei tranzacţii, determinată în conformitate cu articolul 279b alineatul (1) litera (a): </w:t>
            </w:r>
          </w:p>
          <w:p w14:paraId="447CD93B" w14:textId="658070CD"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i/>
                <w:iCs/>
                <w:color w:val="000000"/>
                <w:sz w:val="18"/>
                <w:szCs w:val="18"/>
              </w:rPr>
              <w:t xml:space="preserve">          Tabelul 2</w:t>
            </w:r>
          </w:p>
          <w:tbl>
            <w:tblPr>
              <w:tblStyle w:val="TableGrid"/>
              <w:tblW w:w="4025" w:type="dxa"/>
              <w:tblLayout w:type="fixed"/>
              <w:tblLook w:val="04A0" w:firstRow="1" w:lastRow="0" w:firstColumn="1" w:lastColumn="0" w:noHBand="0" w:noVBand="1"/>
            </w:tblPr>
            <w:tblGrid>
              <w:gridCol w:w="1152"/>
              <w:gridCol w:w="2873"/>
            </w:tblGrid>
            <w:tr w:rsidR="001A4DE8" w:rsidRPr="00EB7E01" w14:paraId="1BD94750" w14:textId="77777777" w:rsidTr="00B11411">
              <w:trPr>
                <w:trHeight w:val="283"/>
              </w:trPr>
              <w:tc>
                <w:tcPr>
                  <w:tcW w:w="1152" w:type="dxa"/>
                </w:tcPr>
                <w:p w14:paraId="04A674D1"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rPr>
                  </w:pPr>
                  <w:r w:rsidRPr="00A96E09">
                    <w:rPr>
                      <w:rFonts w:ascii="Times New Roman" w:hAnsi="Times New Roman" w:cs="Times New Roman"/>
                      <w:sz w:val="18"/>
                      <w:szCs w:val="18"/>
                    </w:rPr>
                    <w:t>Banda</w:t>
                  </w:r>
                </w:p>
              </w:tc>
              <w:tc>
                <w:tcPr>
                  <w:tcW w:w="2873" w:type="dxa"/>
                </w:tcPr>
                <w:p w14:paraId="00DC3B3D"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Data de încetare (în ani)</w:t>
                  </w:r>
                </w:p>
              </w:tc>
            </w:tr>
            <w:tr w:rsidR="001A4DE8" w:rsidRPr="00EB7E01" w14:paraId="1C5C02CC" w14:textId="77777777" w:rsidTr="00B11411">
              <w:trPr>
                <w:trHeight w:val="301"/>
              </w:trPr>
              <w:tc>
                <w:tcPr>
                  <w:tcW w:w="1152" w:type="dxa"/>
                </w:tcPr>
                <w:p w14:paraId="79918BB9"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1</w:t>
                  </w:r>
                </w:p>
              </w:tc>
              <w:tc>
                <w:tcPr>
                  <w:tcW w:w="2873" w:type="dxa"/>
                </w:tcPr>
                <w:p w14:paraId="5FAA1E5F"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&gt;0 și &lt;=1</w:t>
                  </w:r>
                </w:p>
              </w:tc>
            </w:tr>
            <w:tr w:rsidR="001A4DE8" w:rsidRPr="00EB7E01" w14:paraId="12F06ACD" w14:textId="77777777" w:rsidTr="00B11411">
              <w:trPr>
                <w:trHeight w:val="237"/>
              </w:trPr>
              <w:tc>
                <w:tcPr>
                  <w:tcW w:w="1152" w:type="dxa"/>
                </w:tcPr>
                <w:p w14:paraId="10E40F40"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lastRenderedPageBreak/>
                    <w:t>2</w:t>
                  </w:r>
                </w:p>
              </w:tc>
              <w:tc>
                <w:tcPr>
                  <w:tcW w:w="2873" w:type="dxa"/>
                </w:tcPr>
                <w:p w14:paraId="1829B423"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&gt;1 și &lt;= 5</w:t>
                  </w:r>
                </w:p>
              </w:tc>
            </w:tr>
            <w:tr w:rsidR="001A4DE8" w:rsidRPr="00EB7E01" w14:paraId="59925A51" w14:textId="77777777" w:rsidTr="00B11411">
              <w:trPr>
                <w:trHeight w:val="337"/>
              </w:trPr>
              <w:tc>
                <w:tcPr>
                  <w:tcW w:w="1152" w:type="dxa"/>
                </w:tcPr>
                <w:p w14:paraId="2C3DE3E9"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3</w:t>
                  </w:r>
                </w:p>
              </w:tc>
              <w:tc>
                <w:tcPr>
                  <w:tcW w:w="2873" w:type="dxa"/>
                </w:tcPr>
                <w:p w14:paraId="5D5D2647" w14:textId="77777777" w:rsidR="001A4DE8" w:rsidRPr="00A96E09" w:rsidRDefault="001A4DE8" w:rsidP="00EB7E01">
                  <w:pPr>
                    <w:pStyle w:val="Default"/>
                    <w:framePr w:hSpace="180" w:wrap="around" w:vAnchor="text" w:hAnchor="text" w:y="1"/>
                    <w:suppressOverlap/>
                    <w:jc w:val="both"/>
                    <w:rPr>
                      <w:rFonts w:ascii="Times New Roman" w:hAnsi="Times New Roman" w:cs="Times New Roman"/>
                      <w:sz w:val="18"/>
                      <w:szCs w:val="18"/>
                      <w:lang w:val="en-US"/>
                    </w:rPr>
                  </w:pPr>
                  <w:r w:rsidRPr="00A96E09">
                    <w:rPr>
                      <w:rFonts w:ascii="Times New Roman" w:hAnsi="Times New Roman" w:cs="Times New Roman"/>
                      <w:sz w:val="18"/>
                      <w:szCs w:val="18"/>
                    </w:rPr>
                    <w:t>&gt; 5</w:t>
                  </w:r>
                </w:p>
              </w:tc>
            </w:tr>
          </w:tbl>
          <w:p w14:paraId="5E9FBE2D" w14:textId="77777777" w:rsidR="001A4DE8" w:rsidRPr="00A96E09" w:rsidRDefault="001A4DE8" w:rsidP="003456B0">
            <w:pPr>
              <w:pStyle w:val="Default"/>
              <w:jc w:val="both"/>
              <w:rPr>
                <w:rFonts w:ascii="Times New Roman" w:hAnsi="Times New Roman" w:cs="Times New Roman"/>
                <w:sz w:val="18"/>
                <w:szCs w:val="18"/>
              </w:rPr>
            </w:pPr>
          </w:p>
          <w:p w14:paraId="314F9BA4"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Instituţiile calculează apoi valoarea noţională efectivă a setului de acoperire a riscului j în conformitate cu următoarea formulă: </w:t>
            </w:r>
          </w:p>
          <w:p w14:paraId="5612AD81" w14:textId="77777777" w:rsidR="001A4DE8" w:rsidRPr="00A96E09" w:rsidRDefault="001A4DE8" w:rsidP="003456B0">
            <w:pPr>
              <w:pStyle w:val="Default"/>
              <w:jc w:val="both"/>
              <w:rPr>
                <w:rFonts w:ascii="Times New Roman" w:hAnsi="Times New Roman" w:cs="Times New Roman"/>
                <w:sz w:val="18"/>
                <w:szCs w:val="18"/>
              </w:rPr>
            </w:pPr>
          </w:p>
          <w:p w14:paraId="25972048"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178E5DA4" wp14:editId="4BAB0D0E">
                  <wp:extent cx="2545474" cy="250166"/>
                  <wp:effectExtent l="0" t="0" r="0" b="0"/>
                  <wp:docPr id="1882503956"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02973" cy="265645"/>
                          </a:xfrm>
                          <a:prstGeom prst="rect">
                            <a:avLst/>
                          </a:prstGeom>
                          <a:noFill/>
                          <a:ln>
                            <a:noFill/>
                          </a:ln>
                        </pic:spPr>
                      </pic:pic>
                    </a:graphicData>
                  </a:graphic>
                </wp:inline>
              </w:drawing>
            </w:r>
          </w:p>
          <w:p w14:paraId="31BE2BA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679D295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C20BFED" wp14:editId="0F6FF23E">
                  <wp:extent cx="513476" cy="215660"/>
                  <wp:effectExtent l="0" t="0" r="1270" b="0"/>
                  <wp:docPr id="18433609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453" cy="229930"/>
                          </a:xfrm>
                          <a:prstGeom prst="rect">
                            <a:avLst/>
                          </a:prstGeom>
                          <a:noFill/>
                        </pic:spPr>
                      </pic:pic>
                    </a:graphicData>
                  </a:graphic>
                </wp:inline>
              </w:drawing>
            </w:r>
            <w:r w:rsidRPr="00A96E09">
              <w:rPr>
                <w:rFonts w:ascii="Times New Roman" w:hAnsi="Times New Roman"/>
                <w:color w:val="000000"/>
                <w:sz w:val="18"/>
                <w:szCs w:val="18"/>
              </w:rPr>
              <w:t xml:space="preserve">= valoarea noţională efectivă a setului de acoperire a riscului j; și </w:t>
            </w:r>
          </w:p>
          <w:p w14:paraId="1347C4A0"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t>Dj,k</w:t>
            </w:r>
            <w:proofErr w:type="gramEnd"/>
            <w:r w:rsidRPr="00A96E09">
              <w:rPr>
                <w:rFonts w:ascii="Times New Roman" w:hAnsi="Times New Roman"/>
                <w:color w:val="000000"/>
                <w:sz w:val="18"/>
                <w:szCs w:val="18"/>
              </w:rPr>
              <w:t xml:space="preserve"> = valoarea noţională efectivă a benzii k a setului de acoperire a riscului j, calculată după cum urmează: </w:t>
            </w:r>
          </w:p>
          <w:p w14:paraId="434EF5AF"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54ACF3D6" wp14:editId="0A13453E">
                  <wp:extent cx="1595886" cy="337128"/>
                  <wp:effectExtent l="0" t="0" r="4445" b="6350"/>
                  <wp:docPr id="492057208"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36624" cy="345734"/>
                          </a:xfrm>
                          <a:prstGeom prst="rect">
                            <a:avLst/>
                          </a:prstGeom>
                          <a:noFill/>
                          <a:ln>
                            <a:noFill/>
                          </a:ln>
                        </pic:spPr>
                      </pic:pic>
                    </a:graphicData>
                  </a:graphic>
                </wp:inline>
              </w:drawing>
            </w:r>
          </w:p>
          <w:p w14:paraId="4733FFF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36391441" w14:textId="30EF3B7D"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color w:val="000000"/>
                <w:sz w:val="18"/>
                <w:szCs w:val="18"/>
              </w:rPr>
              <w:t xml:space="preserve">l = indicele care desemnează poziţia de risc (RiskPosition). </w:t>
            </w:r>
          </w:p>
        </w:tc>
        <w:tc>
          <w:tcPr>
            <w:tcW w:w="4356" w:type="dxa"/>
          </w:tcPr>
          <w:p w14:paraId="20540F9A" w14:textId="3026F812" w:rsidR="001A4DE8" w:rsidRPr="008070DB" w:rsidRDefault="001A4DE8" w:rsidP="003456B0">
            <w:pPr>
              <w:pStyle w:val="CM4"/>
              <w:spacing w:before="60" w:after="60"/>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Secțiunea a 10-a</w:t>
            </w:r>
          </w:p>
          <w:p w14:paraId="53E743A3" w14:textId="77777777" w:rsidR="001A4DE8" w:rsidRPr="008070DB" w:rsidRDefault="001A4DE8" w:rsidP="003456B0">
            <w:pPr>
              <w:pStyle w:val="Default"/>
              <w:jc w:val="both"/>
              <w:rPr>
                <w:rFonts w:ascii="Times New Roman" w:hAnsi="Times New Roman" w:cs="Times New Roman"/>
                <w:b/>
                <w:bCs/>
                <w:sz w:val="18"/>
                <w:szCs w:val="18"/>
              </w:rPr>
            </w:pPr>
            <w:r w:rsidRPr="008070DB">
              <w:rPr>
                <w:rFonts w:ascii="Times New Roman" w:hAnsi="Times New Roman" w:cs="Times New Roman"/>
                <w:b/>
                <w:bCs/>
                <w:sz w:val="18"/>
                <w:szCs w:val="18"/>
              </w:rPr>
              <w:t>Majorarea pentru categoria de risc de rată a dobânzii</w:t>
            </w:r>
          </w:p>
          <w:p w14:paraId="6A1AA2FF" w14:textId="560A909A"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7</w:t>
            </w:r>
            <w:r w:rsidR="00EF7C8F" w:rsidRPr="008070DB">
              <w:rPr>
                <w:rFonts w:ascii="Times New Roman" w:hAnsi="Times New Roman" w:cs="Times New Roman"/>
                <w:b/>
                <w:bCs/>
                <w:sz w:val="18"/>
                <w:szCs w:val="18"/>
              </w:rPr>
              <w:t>8</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În sensul punctelor </w:t>
            </w:r>
            <w:r w:rsidRPr="008070DB">
              <w:rPr>
                <w:rFonts w:ascii="Times New Roman" w:hAnsi="Times New Roman" w:cs="Times New Roman"/>
                <w:sz w:val="18"/>
                <w:szCs w:val="18"/>
              </w:rPr>
              <w:t>6</w:t>
            </w:r>
            <w:r w:rsidR="00EF7C8F" w:rsidRPr="008070DB">
              <w:rPr>
                <w:rFonts w:ascii="Times New Roman" w:hAnsi="Times New Roman" w:cs="Times New Roman"/>
                <w:sz w:val="18"/>
                <w:szCs w:val="18"/>
              </w:rPr>
              <w:t>6</w:t>
            </w:r>
            <w:r w:rsidR="001A4DE8" w:rsidRPr="008070DB">
              <w:rPr>
                <w:rFonts w:ascii="Times New Roman" w:hAnsi="Times New Roman" w:cs="Times New Roman"/>
                <w:sz w:val="18"/>
                <w:szCs w:val="18"/>
              </w:rPr>
              <w:t>-</w:t>
            </w:r>
            <w:r w:rsidRPr="008070DB">
              <w:rPr>
                <w:rFonts w:ascii="Times New Roman" w:hAnsi="Times New Roman" w:cs="Times New Roman"/>
                <w:sz w:val="18"/>
                <w:szCs w:val="18"/>
              </w:rPr>
              <w:t>6</w:t>
            </w:r>
            <w:r w:rsidR="00EF7C8F" w:rsidRPr="008070DB">
              <w:rPr>
                <w:rFonts w:ascii="Times New Roman" w:hAnsi="Times New Roman" w:cs="Times New Roman"/>
                <w:sz w:val="18"/>
                <w:szCs w:val="18"/>
              </w:rPr>
              <w:t>8</w:t>
            </w:r>
            <w:r w:rsidR="001A4DE8" w:rsidRPr="008070DB">
              <w:rPr>
                <w:rFonts w:ascii="Times New Roman" w:hAnsi="Times New Roman" w:cs="Times New Roman"/>
                <w:sz w:val="18"/>
                <w:szCs w:val="18"/>
              </w:rPr>
              <w:t xml:space="preserve">, băncile calculează majorarea aferentă categoriei de risc de rată a dobânzii pentru un anumit set de compensare după cum urmează: </w:t>
            </w:r>
          </w:p>
          <w:p w14:paraId="1AEC083A"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131ED2E5" wp14:editId="208D6573">
                  <wp:extent cx="1952625" cy="447112"/>
                  <wp:effectExtent l="0" t="0" r="0" b="0"/>
                  <wp:docPr id="456656508" name="Picture 45665650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72036" cy="451557"/>
                          </a:xfrm>
                          <a:prstGeom prst="rect">
                            <a:avLst/>
                          </a:prstGeom>
                          <a:noFill/>
                          <a:ln>
                            <a:noFill/>
                          </a:ln>
                        </pic:spPr>
                      </pic:pic>
                    </a:graphicData>
                  </a:graphic>
                </wp:inline>
              </w:drawing>
            </w:r>
          </w:p>
          <w:p w14:paraId="6C0448A6"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7B63EF41"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AddOn</w:t>
            </w:r>
            <w:r w:rsidRPr="008070DB">
              <w:rPr>
                <w:rFonts w:ascii="Times New Roman" w:hAnsi="Times New Roman" w:cs="Times New Roman"/>
                <w:sz w:val="18"/>
                <w:szCs w:val="18"/>
                <w:vertAlign w:val="superscript"/>
              </w:rPr>
              <w:t xml:space="preserve">IR </w:t>
            </w:r>
            <w:r w:rsidRPr="008070DB">
              <w:rPr>
                <w:rFonts w:ascii="Times New Roman" w:hAnsi="Times New Roman" w:cs="Times New Roman"/>
                <w:sz w:val="18"/>
                <w:szCs w:val="18"/>
              </w:rPr>
              <w:t xml:space="preserve">= majorarea categoriei de risc de rată a </w:t>
            </w:r>
            <w:proofErr w:type="gramStart"/>
            <w:r w:rsidRPr="008070DB">
              <w:rPr>
                <w:rFonts w:ascii="Times New Roman" w:hAnsi="Times New Roman" w:cs="Times New Roman"/>
                <w:sz w:val="18"/>
                <w:szCs w:val="18"/>
              </w:rPr>
              <w:t>dobânzii;</w:t>
            </w:r>
            <w:proofErr w:type="gramEnd"/>
            <w:r w:rsidRPr="008070DB">
              <w:rPr>
                <w:rFonts w:ascii="Times New Roman" w:hAnsi="Times New Roman" w:cs="Times New Roman"/>
                <w:sz w:val="18"/>
                <w:szCs w:val="18"/>
              </w:rPr>
              <w:t xml:space="preserve"> </w:t>
            </w:r>
          </w:p>
          <w:p w14:paraId="60D79A31" w14:textId="0269BABC" w:rsidR="00EF7C8F" w:rsidRPr="008070DB" w:rsidRDefault="001A4DE8" w:rsidP="003456B0">
            <w:pPr>
              <w:pStyle w:val="Default"/>
              <w:jc w:val="both"/>
              <w:rPr>
                <w:rFonts w:ascii="Times New Roman" w:hAnsi="Times New Roman" w:cs="Times New Roman"/>
                <w:sz w:val="18"/>
                <w:szCs w:val="18"/>
                <w:lang w:val="ro-MD"/>
              </w:rPr>
            </w:pPr>
            <w:r w:rsidRPr="008070DB">
              <w:rPr>
                <w:rFonts w:ascii="Times New Roman" w:hAnsi="Times New Roman" w:cs="Times New Roman"/>
                <w:sz w:val="18"/>
                <w:szCs w:val="18"/>
              </w:rPr>
              <w:t xml:space="preserve">j = </w:t>
            </w:r>
            <w:r w:rsidR="00EF7C8F" w:rsidRPr="008070DB">
              <w:rPr>
                <w:rFonts w:ascii="Times New Roman" w:hAnsi="Times New Roman" w:cs="Times New Roman"/>
                <w:sz w:val="18"/>
                <w:szCs w:val="18"/>
                <w:lang w:val="ro-MD"/>
              </w:rPr>
              <w:t xml:space="preserve">indicele care desemnează toate seturile de acoperire a riscului de rată a dobânzii stabilite în conformitate cu </w:t>
            </w:r>
            <w:r w:rsidR="00EF7C8F" w:rsidRPr="008070DB">
              <w:rPr>
                <w:rFonts w:ascii="Times New Roman" w:hAnsi="Times New Roman" w:cs="Times New Roman"/>
                <w:sz w:val="18"/>
                <w:szCs w:val="18"/>
                <w:lang w:val="ro-MD"/>
              </w:rPr>
              <w:t xml:space="preserve">punctul </w:t>
            </w:r>
            <w:r w:rsidR="00C76A7C" w:rsidRPr="008070DB">
              <w:rPr>
                <w:rFonts w:ascii="Times New Roman" w:hAnsi="Times New Roman" w:cs="Times New Roman"/>
                <w:sz w:val="18"/>
                <w:szCs w:val="18"/>
                <w:lang w:val="ro-MD"/>
              </w:rPr>
              <w:t>5</w:t>
            </w:r>
            <w:r w:rsidR="00EF7C8F" w:rsidRPr="008070DB">
              <w:rPr>
                <w:rFonts w:ascii="Times New Roman" w:hAnsi="Times New Roman" w:cs="Times New Roman"/>
                <w:sz w:val="18"/>
                <w:szCs w:val="18"/>
                <w:lang w:val="ro-MD"/>
              </w:rPr>
              <w:t xml:space="preserve">9 subpunctul </w:t>
            </w:r>
            <w:r w:rsidR="00232A60">
              <w:rPr>
                <w:rFonts w:ascii="Times New Roman" w:hAnsi="Times New Roman" w:cs="Times New Roman"/>
                <w:sz w:val="18"/>
                <w:szCs w:val="18"/>
                <w:lang w:val="ro-MD"/>
              </w:rPr>
              <w:t>59.1.</w:t>
            </w:r>
            <w:r w:rsidR="00EF7C8F" w:rsidRPr="008070DB">
              <w:rPr>
                <w:rFonts w:ascii="Times New Roman" w:hAnsi="Times New Roman" w:cs="Times New Roman"/>
                <w:sz w:val="18"/>
                <w:szCs w:val="18"/>
                <w:lang w:val="ro-MD"/>
              </w:rPr>
              <w:t xml:space="preserve"> și cu punctele </w:t>
            </w:r>
            <w:r w:rsidR="00C76A7C" w:rsidRPr="008070DB">
              <w:rPr>
                <w:rFonts w:ascii="Times New Roman" w:hAnsi="Times New Roman" w:cs="Times New Roman"/>
                <w:sz w:val="18"/>
                <w:szCs w:val="18"/>
                <w:lang w:val="ro-MD"/>
              </w:rPr>
              <w:t>6</w:t>
            </w:r>
            <w:r w:rsidR="00EF7C8F" w:rsidRPr="008070DB">
              <w:rPr>
                <w:rFonts w:ascii="Times New Roman" w:hAnsi="Times New Roman" w:cs="Times New Roman"/>
                <w:sz w:val="18"/>
                <w:szCs w:val="18"/>
                <w:lang w:val="ro-MD"/>
              </w:rPr>
              <w:t>1-</w:t>
            </w:r>
            <w:r w:rsidR="00C76A7C" w:rsidRPr="008070DB">
              <w:rPr>
                <w:rFonts w:ascii="Times New Roman" w:hAnsi="Times New Roman" w:cs="Times New Roman"/>
                <w:sz w:val="18"/>
                <w:szCs w:val="18"/>
                <w:lang w:val="ro-MD"/>
              </w:rPr>
              <w:t>6</w:t>
            </w:r>
            <w:r w:rsidR="00EF7C8F" w:rsidRPr="008070DB">
              <w:rPr>
                <w:rFonts w:ascii="Times New Roman" w:hAnsi="Times New Roman" w:cs="Times New Roman"/>
                <w:sz w:val="18"/>
                <w:szCs w:val="18"/>
                <w:lang w:val="ro-MD"/>
              </w:rPr>
              <w:t xml:space="preserve">4 pentru setul de compensare; și </w:t>
            </w:r>
          </w:p>
          <w:p w14:paraId="49F98F9B" w14:textId="6D05B89A"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6B79A07A" wp14:editId="340E4EE6">
                  <wp:extent cx="638355" cy="252933"/>
                  <wp:effectExtent l="0" t="0" r="0" b="0"/>
                  <wp:docPr id="228354769" name="Picture 22835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4972" cy="259517"/>
                          </a:xfrm>
                          <a:prstGeom prst="rect">
                            <a:avLst/>
                          </a:prstGeom>
                          <a:noFill/>
                        </pic:spPr>
                      </pic:pic>
                    </a:graphicData>
                  </a:graphic>
                </wp:inline>
              </w:drawing>
            </w:r>
            <w:r w:rsidRPr="008070DB">
              <w:rPr>
                <w:rFonts w:ascii="Times New Roman" w:hAnsi="Times New Roman" w:cs="Times New Roman"/>
                <w:sz w:val="18"/>
                <w:szCs w:val="18"/>
              </w:rPr>
              <w:t>= majorarea categoriei de risc de rată a dobânzii pentru setul de acoperire a riscului j calculat în conformitate cu punctul</w:t>
            </w:r>
            <w:r w:rsidR="00FE6D42" w:rsidRPr="008070DB">
              <w:rPr>
                <w:rFonts w:ascii="Times New Roman" w:hAnsi="Times New Roman" w:cs="Times New Roman"/>
                <w:sz w:val="18"/>
                <w:szCs w:val="18"/>
              </w:rPr>
              <w:t xml:space="preserve"> </w:t>
            </w:r>
            <w:r w:rsidR="00C76A7C" w:rsidRPr="008070DB">
              <w:rPr>
                <w:rFonts w:ascii="Times New Roman" w:hAnsi="Times New Roman" w:cs="Times New Roman"/>
                <w:sz w:val="18"/>
                <w:szCs w:val="18"/>
              </w:rPr>
              <w:t>7</w:t>
            </w:r>
            <w:r w:rsidR="00EF7C8F" w:rsidRPr="008070DB">
              <w:rPr>
                <w:rFonts w:ascii="Times New Roman" w:hAnsi="Times New Roman" w:cs="Times New Roman"/>
                <w:sz w:val="18"/>
                <w:szCs w:val="18"/>
              </w:rPr>
              <w:t>9</w:t>
            </w:r>
            <w:r w:rsidR="00FE6D42" w:rsidRPr="008070DB">
              <w:rPr>
                <w:rFonts w:ascii="Times New Roman" w:hAnsi="Times New Roman" w:cs="Times New Roman"/>
                <w:sz w:val="18"/>
                <w:szCs w:val="18"/>
              </w:rPr>
              <w:t>.</w:t>
            </w:r>
          </w:p>
          <w:p w14:paraId="06071576" w14:textId="6C757FCF"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7</w:t>
            </w:r>
            <w:r w:rsidR="00EF7C8F" w:rsidRPr="008070DB">
              <w:rPr>
                <w:rFonts w:ascii="Times New Roman" w:hAnsi="Times New Roman" w:cs="Times New Roman"/>
                <w:b/>
                <w:bCs/>
                <w:sz w:val="18"/>
                <w:szCs w:val="18"/>
              </w:rPr>
              <w:t>9</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Băncile calculează majorarea pentru setul de acoperire a riscului j aferentă categoriei de risc de rată a dobânzii astfel: </w:t>
            </w:r>
          </w:p>
          <w:p w14:paraId="58CF15C6"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3F59AA8" wp14:editId="203AF55A">
                  <wp:extent cx="2465424" cy="333375"/>
                  <wp:effectExtent l="0" t="0" r="0" b="0"/>
                  <wp:docPr id="999722745" name="Picture 99972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7520" cy="333658"/>
                          </a:xfrm>
                          <a:prstGeom prst="rect">
                            <a:avLst/>
                          </a:prstGeom>
                          <a:noFill/>
                        </pic:spPr>
                      </pic:pic>
                    </a:graphicData>
                  </a:graphic>
                </wp:inline>
              </w:drawing>
            </w:r>
          </w:p>
          <w:p w14:paraId="1B8338D4" w14:textId="2D48AD9D"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r w:rsidRPr="008070DB">
              <w:rPr>
                <w:rFonts w:ascii="Times New Roman" w:hAnsi="Times New Roman" w:cs="Times New Roman"/>
                <w:sz w:val="18"/>
                <w:szCs w:val="18"/>
              </w:rPr>
              <w:br/>
            </w:r>
            <w:r w:rsidRPr="008070DB">
              <w:rPr>
                <w:rFonts w:ascii="Times New Roman" w:eastAsiaTheme="minorHAnsi" w:hAnsi="Times New Roman" w:cs="Times New Roman"/>
                <w:sz w:val="18"/>
                <w:szCs w:val="18"/>
                <w:lang w:val="ro-MD"/>
                <w14:ligatures w14:val="standardContextual"/>
              </w:rPr>
              <w:t xml:space="preserve">є j = coeficientul factorului </w:t>
            </w:r>
            <w:r w:rsidR="00FE6D42" w:rsidRPr="008070DB">
              <w:rPr>
                <w:rFonts w:ascii="Times New Roman" w:eastAsiaTheme="minorHAnsi" w:hAnsi="Times New Roman" w:cs="Times New Roman"/>
                <w:sz w:val="18"/>
                <w:szCs w:val="18"/>
                <w:lang w:val="ro-MD"/>
                <w14:ligatures w14:val="standardContextual"/>
              </w:rPr>
              <w:t>stabilit</w:t>
            </w:r>
            <w:r w:rsidRPr="008070DB">
              <w:rPr>
                <w:rFonts w:ascii="Times New Roman" w:eastAsiaTheme="minorHAnsi" w:hAnsi="Times New Roman" w:cs="Times New Roman"/>
                <w:sz w:val="18"/>
                <w:szCs w:val="18"/>
                <w:lang w:val="ro-MD"/>
                <w14:ligatures w14:val="standardContextual"/>
              </w:rPr>
              <w:t xml:space="preserve"> de Banca Națională a Moldovei aferent setului de acoperire a riscului pentru setul de acoperire a riscului j determinat în conformitate cu valoarea aplicabilă specificată la punctul</w:t>
            </w:r>
            <w:r w:rsidR="00C76A7C" w:rsidRPr="008070DB">
              <w:rPr>
                <w:rFonts w:ascii="Times New Roman" w:eastAsiaTheme="minorHAnsi" w:hAnsi="Times New Roman" w:cs="Times New Roman"/>
                <w:sz w:val="18"/>
                <w:szCs w:val="18"/>
                <w:lang w:val="ro-MD"/>
                <w14:ligatures w14:val="standardContextual"/>
              </w:rPr>
              <w:t xml:space="preserve"> </w:t>
            </w:r>
            <w:proofErr w:type="gramStart"/>
            <w:r w:rsidR="00C76A7C" w:rsidRPr="008070DB">
              <w:rPr>
                <w:rFonts w:ascii="Times New Roman" w:eastAsiaTheme="minorHAnsi" w:hAnsi="Times New Roman" w:cs="Times New Roman"/>
                <w:sz w:val="18"/>
                <w:szCs w:val="18"/>
                <w:lang w:val="ro-MD"/>
                <w14:ligatures w14:val="standardContextual"/>
              </w:rPr>
              <w:t>7</w:t>
            </w:r>
            <w:r w:rsidR="00EF7C8F" w:rsidRPr="008070DB">
              <w:rPr>
                <w:rFonts w:ascii="Times New Roman" w:eastAsiaTheme="minorHAnsi" w:hAnsi="Times New Roman" w:cs="Times New Roman"/>
                <w:sz w:val="18"/>
                <w:szCs w:val="18"/>
                <w:lang w:val="ro-MD"/>
                <w14:ligatures w14:val="standardContextual"/>
              </w:rPr>
              <w:t>7</w:t>
            </w:r>
            <w:r w:rsidRPr="008070DB">
              <w:rPr>
                <w:rFonts w:ascii="Times New Roman" w:eastAsiaTheme="minorHAnsi" w:hAnsi="Times New Roman" w:cs="Times New Roman"/>
                <w:sz w:val="18"/>
                <w:szCs w:val="18"/>
                <w:lang w:val="ro-MD"/>
                <w14:ligatures w14:val="standardContextual"/>
              </w:rPr>
              <w:t>;</w:t>
            </w:r>
            <w:proofErr w:type="gramEnd"/>
            <w:r w:rsidRPr="008070DB">
              <w:rPr>
                <w:rFonts w:ascii="Times New Roman" w:eastAsiaTheme="minorHAnsi" w:hAnsi="Times New Roman" w:cs="Times New Roman"/>
                <w:sz w:val="18"/>
                <w:szCs w:val="18"/>
                <w:lang w:val="ro-MD"/>
                <w14:ligatures w14:val="standardContextual"/>
              </w:rPr>
              <w:t xml:space="preserve"> </w:t>
            </w:r>
          </w:p>
          <w:p w14:paraId="1427E613" w14:textId="43E2E124"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SF</w:t>
            </w:r>
            <w:r w:rsidRPr="008070DB">
              <w:rPr>
                <w:rFonts w:eastAsiaTheme="minorHAnsi"/>
                <w:color w:val="000000"/>
                <w:sz w:val="18"/>
                <w:szCs w:val="18"/>
                <w:vertAlign w:val="superscript"/>
                <w:lang w:val="ro-MD" w:eastAsia="en-US"/>
                <w14:ligatures w14:val="standardContextual"/>
              </w:rPr>
              <w:t>IR</w:t>
            </w:r>
            <w:r w:rsidRPr="008070DB">
              <w:rPr>
                <w:rFonts w:eastAsiaTheme="minorHAnsi"/>
                <w:color w:val="000000"/>
                <w:sz w:val="18"/>
                <w:szCs w:val="18"/>
                <w:lang w:val="ro-MD" w:eastAsia="en-US"/>
                <w14:ligatures w14:val="standardContextual"/>
              </w:rPr>
              <w:t xml:space="preserve"> = factorul </w:t>
            </w:r>
            <w:r w:rsidR="00FE6D42" w:rsidRPr="008070DB">
              <w:rPr>
                <w:rFonts w:eastAsiaTheme="minorHAnsi"/>
                <w:color w:val="000000"/>
                <w:sz w:val="18"/>
                <w:szCs w:val="18"/>
                <w:lang w:val="ro-MD" w:eastAsia="en-US"/>
                <w14:ligatures w14:val="standardContextual"/>
              </w:rPr>
              <w:t>stabilit</w:t>
            </w:r>
            <w:r w:rsidRPr="008070DB">
              <w:rPr>
                <w:rFonts w:eastAsiaTheme="minorHAnsi"/>
                <w:color w:val="000000"/>
                <w:sz w:val="18"/>
                <w:szCs w:val="18"/>
                <w:lang w:val="ro-MD" w:eastAsia="en-US"/>
                <w14:ligatures w14:val="standardContextual"/>
              </w:rPr>
              <w:t xml:space="preserve"> de Banca Națională a Moldovei pentru categoria de risc de rată a dobânzii cu o valoare egală cu 0,5 %; și</w:t>
            </w:r>
          </w:p>
          <w:p w14:paraId="59B21E33" w14:textId="2337FD09"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r w:rsidRPr="008070DB">
              <w:rPr>
                <w:rFonts w:ascii="Times New Roman" w:hAnsi="Times New Roman" w:cs="Times New Roman"/>
                <w:noProof/>
                <w:sz w:val="18"/>
                <w:szCs w:val="18"/>
              </w:rPr>
              <w:drawing>
                <wp:inline distT="0" distB="0" distL="0" distR="0" wp14:anchorId="10E33AC4" wp14:editId="78522619">
                  <wp:extent cx="569343" cy="238179"/>
                  <wp:effectExtent l="0" t="0" r="2540" b="0"/>
                  <wp:docPr id="1982721561" name="Picture 19827215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7736" cy="245874"/>
                          </a:xfrm>
                          <a:prstGeom prst="rect">
                            <a:avLst/>
                          </a:prstGeom>
                          <a:noFill/>
                          <a:ln>
                            <a:noFill/>
                          </a:ln>
                        </pic:spPr>
                      </pic:pic>
                    </a:graphicData>
                  </a:graphic>
                </wp:inline>
              </w:drawing>
            </w:r>
            <w:r w:rsidRPr="008070DB">
              <w:rPr>
                <w:rFonts w:ascii="Times New Roman" w:hAnsi="Times New Roman" w:cs="Times New Roman"/>
                <w:sz w:val="18"/>
                <w:szCs w:val="18"/>
              </w:rPr>
              <w:t xml:space="preserve"> = valoarea noţională efectivă a setului de acoperire a riscului j calculată în conformitate cu punctul </w:t>
            </w:r>
            <w:r w:rsidR="00C76A7C" w:rsidRPr="008070DB">
              <w:rPr>
                <w:rFonts w:ascii="Times New Roman" w:hAnsi="Times New Roman" w:cs="Times New Roman"/>
                <w:sz w:val="18"/>
                <w:szCs w:val="18"/>
              </w:rPr>
              <w:t>8</w:t>
            </w:r>
            <w:r w:rsidR="00EF7C8F" w:rsidRPr="008070DB">
              <w:rPr>
                <w:rFonts w:ascii="Times New Roman" w:hAnsi="Times New Roman" w:cs="Times New Roman"/>
                <w:sz w:val="18"/>
                <w:szCs w:val="18"/>
              </w:rPr>
              <w:t>0</w:t>
            </w:r>
            <w:r w:rsidRPr="008070DB">
              <w:rPr>
                <w:rFonts w:ascii="Times New Roman" w:hAnsi="Times New Roman" w:cs="Times New Roman"/>
                <w:sz w:val="18"/>
                <w:szCs w:val="18"/>
              </w:rPr>
              <w:t xml:space="preserve">. </w:t>
            </w:r>
          </w:p>
          <w:p w14:paraId="213D6651" w14:textId="7652A5B1" w:rsidR="001A4DE8" w:rsidRPr="008070DB" w:rsidRDefault="00EF7C8F"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90</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Pentru a calcula valoarea noţională efectivă a setului de acoperire a riscului j, băncile încadrează mai întâi fiecare tranzacţie din setul de acoperire a riscului în banda corespunzătoare din tabelul 2. Băncile fac acest lucru pe baza datei de încetare a fiecărei tranzacţii, determinată în conformitate cu punctul </w:t>
            </w:r>
            <w:r w:rsidR="00C76A7C" w:rsidRPr="008070DB">
              <w:rPr>
                <w:rFonts w:ascii="Times New Roman" w:hAnsi="Times New Roman" w:cs="Times New Roman"/>
                <w:sz w:val="18"/>
                <w:szCs w:val="18"/>
              </w:rPr>
              <w:t>7</w:t>
            </w:r>
            <w:r w:rsidRPr="008070DB">
              <w:rPr>
                <w:rFonts w:ascii="Times New Roman" w:hAnsi="Times New Roman" w:cs="Times New Roman"/>
                <w:sz w:val="18"/>
                <w:szCs w:val="18"/>
              </w:rPr>
              <w:t xml:space="preserve">2 subpunctul </w:t>
            </w:r>
            <w:r w:rsidR="00C76A7C" w:rsidRPr="008070DB">
              <w:rPr>
                <w:rFonts w:ascii="Times New Roman" w:hAnsi="Times New Roman" w:cs="Times New Roman"/>
                <w:sz w:val="18"/>
                <w:szCs w:val="18"/>
              </w:rPr>
              <w:t>7</w:t>
            </w:r>
            <w:r w:rsidRPr="008070DB">
              <w:rPr>
                <w:rFonts w:ascii="Times New Roman" w:hAnsi="Times New Roman" w:cs="Times New Roman"/>
                <w:sz w:val="18"/>
                <w:szCs w:val="18"/>
              </w:rPr>
              <w:t>2</w:t>
            </w:r>
            <w:r w:rsidR="004832AC" w:rsidRPr="008070DB">
              <w:rPr>
                <w:rFonts w:ascii="Times New Roman" w:hAnsi="Times New Roman" w:cs="Times New Roman"/>
                <w:sz w:val="18"/>
                <w:szCs w:val="18"/>
              </w:rPr>
              <w:t>.</w:t>
            </w:r>
            <w:r w:rsidR="001A4DE8" w:rsidRPr="008070DB">
              <w:rPr>
                <w:rFonts w:ascii="Times New Roman" w:hAnsi="Times New Roman" w:cs="Times New Roman"/>
                <w:sz w:val="18"/>
                <w:szCs w:val="18"/>
              </w:rPr>
              <w:t>1</w:t>
            </w:r>
            <w:r w:rsidR="004832AC" w:rsidRPr="008070DB">
              <w:rPr>
                <w:rFonts w:ascii="Times New Roman" w:hAnsi="Times New Roman" w:cs="Times New Roman"/>
                <w:sz w:val="18"/>
                <w:szCs w:val="18"/>
              </w:rPr>
              <w:t>.</w:t>
            </w:r>
            <w:r w:rsidR="001A4DE8" w:rsidRPr="008070DB">
              <w:rPr>
                <w:rFonts w:ascii="Times New Roman" w:hAnsi="Times New Roman" w:cs="Times New Roman"/>
                <w:sz w:val="18"/>
                <w:szCs w:val="18"/>
              </w:rPr>
              <w:t>:</w:t>
            </w:r>
          </w:p>
          <w:p w14:paraId="4B8AF875"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Tabelul 2</w:t>
            </w:r>
          </w:p>
          <w:p w14:paraId="2D6A81D6" w14:textId="77777777" w:rsidR="001A4DE8" w:rsidRPr="008070DB" w:rsidRDefault="001A4DE8" w:rsidP="003456B0">
            <w:pPr>
              <w:pStyle w:val="Default"/>
              <w:jc w:val="both"/>
              <w:rPr>
                <w:rFonts w:ascii="Times New Roman" w:hAnsi="Times New Roman" w:cs="Times New Roman"/>
                <w:i/>
                <w:iCs/>
                <w:sz w:val="18"/>
                <w:szCs w:val="18"/>
              </w:rPr>
            </w:pPr>
            <w:r w:rsidRPr="008070DB">
              <w:rPr>
                <w:rFonts w:ascii="Times New Roman" w:hAnsi="Times New Roman" w:cs="Times New Roman"/>
                <w:sz w:val="18"/>
                <w:szCs w:val="18"/>
              </w:rPr>
              <w:t xml:space="preserve">          </w:t>
            </w:r>
          </w:p>
          <w:tbl>
            <w:tblPr>
              <w:tblStyle w:val="TableGrid"/>
              <w:tblpPr w:leftFromText="180" w:rightFromText="180" w:vertAnchor="text" w:horzAnchor="margin" w:tblpY="-158"/>
              <w:tblOverlap w:val="never"/>
              <w:tblW w:w="5095" w:type="dxa"/>
              <w:tblLayout w:type="fixed"/>
              <w:tblLook w:val="04A0" w:firstRow="1" w:lastRow="0" w:firstColumn="1" w:lastColumn="0" w:noHBand="0" w:noVBand="1"/>
            </w:tblPr>
            <w:tblGrid>
              <w:gridCol w:w="1458"/>
              <w:gridCol w:w="3637"/>
            </w:tblGrid>
            <w:tr w:rsidR="001A4DE8" w:rsidRPr="00EB7E01" w14:paraId="292DB399" w14:textId="77777777" w:rsidTr="00B11411">
              <w:trPr>
                <w:trHeight w:val="265"/>
              </w:trPr>
              <w:tc>
                <w:tcPr>
                  <w:tcW w:w="1458" w:type="dxa"/>
                </w:tcPr>
                <w:p w14:paraId="6A03C6B5"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Banda</w:t>
                  </w:r>
                </w:p>
              </w:tc>
              <w:tc>
                <w:tcPr>
                  <w:tcW w:w="3637" w:type="dxa"/>
                </w:tcPr>
                <w:p w14:paraId="2DEAF10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Data de încetare (în ani)</w:t>
                  </w:r>
                </w:p>
              </w:tc>
            </w:tr>
            <w:tr w:rsidR="001A4DE8" w:rsidRPr="00EB7E01" w14:paraId="62738A49" w14:textId="77777777" w:rsidTr="00B11411">
              <w:trPr>
                <w:trHeight w:val="282"/>
              </w:trPr>
              <w:tc>
                <w:tcPr>
                  <w:tcW w:w="1458" w:type="dxa"/>
                </w:tcPr>
                <w:p w14:paraId="594FB971"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1</w:t>
                  </w:r>
                </w:p>
              </w:tc>
              <w:tc>
                <w:tcPr>
                  <w:tcW w:w="3637" w:type="dxa"/>
                </w:tcPr>
                <w:p w14:paraId="6289FB1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&gt;0 și &lt;=1</w:t>
                  </w:r>
                </w:p>
              </w:tc>
            </w:tr>
            <w:tr w:rsidR="001A4DE8" w:rsidRPr="00EB7E01" w14:paraId="31643130" w14:textId="77777777" w:rsidTr="00B11411">
              <w:trPr>
                <w:trHeight w:val="222"/>
              </w:trPr>
              <w:tc>
                <w:tcPr>
                  <w:tcW w:w="1458" w:type="dxa"/>
                </w:tcPr>
                <w:p w14:paraId="058CEAF0"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2</w:t>
                  </w:r>
                </w:p>
              </w:tc>
              <w:tc>
                <w:tcPr>
                  <w:tcW w:w="3637" w:type="dxa"/>
                </w:tcPr>
                <w:p w14:paraId="0A1DB98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&gt;1 și &lt;= 5</w:t>
                  </w:r>
                </w:p>
              </w:tc>
            </w:tr>
            <w:tr w:rsidR="001A4DE8" w:rsidRPr="00EB7E01" w14:paraId="21575EF5" w14:textId="77777777" w:rsidTr="00B11411">
              <w:trPr>
                <w:trHeight w:val="317"/>
              </w:trPr>
              <w:tc>
                <w:tcPr>
                  <w:tcW w:w="1458" w:type="dxa"/>
                </w:tcPr>
                <w:p w14:paraId="6BBFC58B"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3</w:t>
                  </w:r>
                </w:p>
              </w:tc>
              <w:tc>
                <w:tcPr>
                  <w:tcW w:w="3637" w:type="dxa"/>
                </w:tcPr>
                <w:p w14:paraId="370A4DCC"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&gt; 5</w:t>
                  </w:r>
                </w:p>
              </w:tc>
            </w:tr>
          </w:tbl>
          <w:p w14:paraId="2FE29A4C" w14:textId="77777777" w:rsidR="001A4DE8" w:rsidRPr="008070DB" w:rsidRDefault="001A4DE8" w:rsidP="003456B0">
            <w:pPr>
              <w:pStyle w:val="Default"/>
              <w:jc w:val="both"/>
              <w:rPr>
                <w:rFonts w:ascii="Times New Roman" w:hAnsi="Times New Roman" w:cs="Times New Roman"/>
                <w:sz w:val="18"/>
                <w:szCs w:val="18"/>
              </w:rPr>
            </w:pPr>
          </w:p>
          <w:p w14:paraId="23461F6A" w14:textId="77777777" w:rsidR="001A4DE8" w:rsidRPr="008070DB" w:rsidRDefault="001A4DE8" w:rsidP="003456B0">
            <w:pPr>
              <w:pStyle w:val="Default"/>
              <w:jc w:val="both"/>
              <w:rPr>
                <w:rFonts w:ascii="Times New Roman" w:hAnsi="Times New Roman" w:cs="Times New Roman"/>
                <w:sz w:val="18"/>
                <w:szCs w:val="18"/>
              </w:rPr>
            </w:pPr>
          </w:p>
          <w:p w14:paraId="542FFC20"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lastRenderedPageBreak/>
              <w:t xml:space="preserve">Băncile calculează apoi valoarea noţională efectivă a setului de acoperire a riscului j în conformitate cu următoarea formulă: </w:t>
            </w:r>
          </w:p>
          <w:p w14:paraId="4FE83090"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028C966E" wp14:editId="7D970D29">
                  <wp:extent cx="2422955" cy="238125"/>
                  <wp:effectExtent l="0" t="0" r="0" b="0"/>
                  <wp:docPr id="1578788162" name="Picture 157878816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483028" cy="244029"/>
                          </a:xfrm>
                          <a:prstGeom prst="rect">
                            <a:avLst/>
                          </a:prstGeom>
                          <a:noFill/>
                          <a:ln>
                            <a:noFill/>
                          </a:ln>
                        </pic:spPr>
                      </pic:pic>
                    </a:graphicData>
                  </a:graphic>
                </wp:inline>
              </w:drawing>
            </w:r>
          </w:p>
          <w:p w14:paraId="199BF575"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p>
          <w:p w14:paraId="0F24479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7DDC687D"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E86B6B8" wp14:editId="111CBFA9">
                  <wp:extent cx="511810" cy="213360"/>
                  <wp:effectExtent l="0" t="0" r="2540" b="0"/>
                  <wp:docPr id="15251858" name="Picture 1525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1810" cy="213360"/>
                          </a:xfrm>
                          <a:prstGeom prst="rect">
                            <a:avLst/>
                          </a:prstGeom>
                          <a:noFill/>
                        </pic:spPr>
                      </pic:pic>
                    </a:graphicData>
                  </a:graphic>
                </wp:inline>
              </w:drawing>
            </w:r>
            <w:r w:rsidRPr="008070DB">
              <w:rPr>
                <w:rFonts w:ascii="Times New Roman" w:hAnsi="Times New Roman" w:cs="Times New Roman"/>
                <w:sz w:val="18"/>
                <w:szCs w:val="18"/>
              </w:rPr>
              <w:t xml:space="preserve"> = valoarea noţională efectivă a setului de acoperire a riscului j; și </w:t>
            </w:r>
          </w:p>
          <w:p w14:paraId="0BA1796D" w14:textId="77777777" w:rsidR="001A4DE8" w:rsidRPr="008070DB" w:rsidRDefault="001A4DE8" w:rsidP="003456B0">
            <w:pPr>
              <w:pStyle w:val="Default"/>
              <w:jc w:val="both"/>
              <w:rPr>
                <w:rFonts w:ascii="Times New Roman" w:hAnsi="Times New Roman" w:cs="Times New Roman"/>
                <w:sz w:val="18"/>
                <w:szCs w:val="18"/>
              </w:rPr>
            </w:pPr>
            <w:proofErr w:type="gramStart"/>
            <w:r w:rsidRPr="008070DB">
              <w:rPr>
                <w:rFonts w:ascii="Times New Roman" w:hAnsi="Times New Roman" w:cs="Times New Roman"/>
                <w:sz w:val="18"/>
                <w:szCs w:val="18"/>
              </w:rPr>
              <w:t>Dj,k</w:t>
            </w:r>
            <w:proofErr w:type="gramEnd"/>
            <w:r w:rsidRPr="008070DB">
              <w:rPr>
                <w:rFonts w:ascii="Times New Roman" w:hAnsi="Times New Roman" w:cs="Times New Roman"/>
                <w:sz w:val="18"/>
                <w:szCs w:val="18"/>
              </w:rPr>
              <w:t xml:space="preserve"> = valoarea noţională efectivă a benzii k a setului de acoperire a riscului j, calculată după cum urmează: </w:t>
            </w:r>
          </w:p>
          <w:p w14:paraId="4CBC015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16F171F7" wp14:editId="47ADD3B7">
                  <wp:extent cx="1409700" cy="297797"/>
                  <wp:effectExtent l="0" t="0" r="0" b="7620"/>
                  <wp:docPr id="811329690" name="Picture 81132969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59844" cy="308390"/>
                          </a:xfrm>
                          <a:prstGeom prst="rect">
                            <a:avLst/>
                          </a:prstGeom>
                          <a:noFill/>
                          <a:ln>
                            <a:noFill/>
                          </a:ln>
                        </pic:spPr>
                      </pic:pic>
                    </a:graphicData>
                  </a:graphic>
                </wp:inline>
              </w:drawing>
            </w:r>
          </w:p>
          <w:p w14:paraId="638D6AE2"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434A43FB"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l = indicele care desemnează poziţia de risc (RiskPosition). </w:t>
            </w:r>
          </w:p>
          <w:p w14:paraId="3F7473E0"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F1C1237"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349B85E"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64623DE"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6CAD42F" w14:textId="1D49CA48"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r w:rsidRPr="008070DB">
              <w:rPr>
                <w:rFonts w:eastAsiaTheme="minorHAnsi"/>
                <w:b/>
                <w:bCs/>
                <w:i/>
                <w:iCs/>
                <w:color w:val="000000"/>
                <w:sz w:val="18"/>
                <w:szCs w:val="18"/>
                <w:lang w:val="ro-RO" w:eastAsia="en-US"/>
                <w14:ligatures w14:val="standardContextual"/>
              </w:rPr>
              <w:t xml:space="preserve"> </w:t>
            </w:r>
          </w:p>
        </w:tc>
        <w:tc>
          <w:tcPr>
            <w:tcW w:w="1554" w:type="dxa"/>
          </w:tcPr>
          <w:p w14:paraId="6E3AEF5B" w14:textId="729FFC27"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4447C133" w14:textId="77777777" w:rsidR="001A4DE8" w:rsidRPr="00A96E09" w:rsidRDefault="001A4DE8" w:rsidP="00C14AF6">
            <w:pPr>
              <w:jc w:val="both"/>
              <w:rPr>
                <w:sz w:val="18"/>
                <w:szCs w:val="18"/>
                <w:lang w:val="ro-MD"/>
              </w:rPr>
            </w:pPr>
          </w:p>
        </w:tc>
      </w:tr>
      <w:tr w:rsidR="001A4DE8" w:rsidRPr="00A96E09" w14:paraId="67E03D84" w14:textId="77777777" w:rsidTr="00C14AF6">
        <w:trPr>
          <w:trHeight w:val="918"/>
        </w:trPr>
        <w:tc>
          <w:tcPr>
            <w:tcW w:w="3866" w:type="dxa"/>
          </w:tcPr>
          <w:p w14:paraId="65081CAD" w14:textId="00F17EF5"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280b </w:t>
            </w:r>
            <w:r w:rsidRPr="00A96E09">
              <w:rPr>
                <w:rFonts w:ascii="Times New Roman" w:hAnsi="Times New Roman"/>
                <w:b/>
                <w:bCs/>
                <w:color w:val="000000"/>
                <w:sz w:val="18"/>
                <w:szCs w:val="18"/>
              </w:rPr>
              <w:t>Majorarea aferentă categoriei de risc valutar</w:t>
            </w:r>
          </w:p>
          <w:p w14:paraId="0341124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(1) În sensul articolului 278, instituţiile calculează majorarea aferentă categoriei de risc valutar (</w:t>
            </w:r>
            <w:r w:rsidRPr="00A96E09">
              <w:rPr>
                <w:rFonts w:ascii="Times New Roman" w:hAnsi="Times New Roman"/>
                <w:i/>
                <w:iCs/>
                <w:color w:val="000000"/>
                <w:sz w:val="18"/>
                <w:szCs w:val="18"/>
              </w:rPr>
              <w:t xml:space="preserve">foreign exchange </w:t>
            </w:r>
            <w:r w:rsidRPr="00A96E09">
              <w:rPr>
                <w:rFonts w:ascii="Times New Roman" w:hAnsi="Times New Roman"/>
                <w:color w:val="000000"/>
                <w:sz w:val="18"/>
                <w:szCs w:val="18"/>
              </w:rPr>
              <w:t xml:space="preserve">– FX) pentru un anumit set de compensare după cum urmează: </w:t>
            </w:r>
          </w:p>
          <w:p w14:paraId="7268250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E0E1CAF" wp14:editId="7E6F513E">
                  <wp:extent cx="1233577" cy="284335"/>
                  <wp:effectExtent l="0" t="0" r="5080" b="1905"/>
                  <wp:docPr id="19117443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58579" cy="290098"/>
                          </a:xfrm>
                          <a:prstGeom prst="rect">
                            <a:avLst/>
                          </a:prstGeom>
                          <a:noFill/>
                        </pic:spPr>
                      </pic:pic>
                    </a:graphicData>
                  </a:graphic>
                </wp:inline>
              </w:drawing>
            </w:r>
          </w:p>
          <w:p w14:paraId="206196E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AE7C59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AddOn </w:t>
            </w:r>
            <w:r w:rsidRPr="00A96E09">
              <w:rPr>
                <w:rFonts w:ascii="Times New Roman" w:hAnsi="Times New Roman"/>
                <w:color w:val="000000"/>
                <w:sz w:val="18"/>
                <w:szCs w:val="18"/>
                <w:vertAlign w:val="superscript"/>
              </w:rPr>
              <w:t>FX</w:t>
            </w:r>
            <w:r w:rsidRPr="00A96E09">
              <w:rPr>
                <w:rFonts w:ascii="Times New Roman" w:hAnsi="Times New Roman"/>
                <w:color w:val="000000"/>
                <w:sz w:val="18"/>
                <w:szCs w:val="18"/>
              </w:rPr>
              <w:t xml:space="preserve"> = majorarea aferentă categoriei de risc </w:t>
            </w:r>
            <w:proofErr w:type="gramStart"/>
            <w:r w:rsidRPr="00A96E09">
              <w:rPr>
                <w:rFonts w:ascii="Times New Roman" w:hAnsi="Times New Roman"/>
                <w:color w:val="000000"/>
                <w:sz w:val="18"/>
                <w:szCs w:val="18"/>
              </w:rPr>
              <w:t>valutar;</w:t>
            </w:r>
            <w:proofErr w:type="gramEnd"/>
            <w:r w:rsidRPr="00A96E09">
              <w:rPr>
                <w:rFonts w:ascii="Times New Roman" w:hAnsi="Times New Roman"/>
                <w:color w:val="000000"/>
                <w:sz w:val="18"/>
                <w:szCs w:val="18"/>
              </w:rPr>
              <w:t xml:space="preserve"> </w:t>
            </w:r>
          </w:p>
          <w:p w14:paraId="0894BE6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j = indicele care desemnează seturile de acoperire a riscului valutar stabilite în conformitate cu </w:t>
            </w:r>
            <w:r w:rsidRPr="00A96E09">
              <w:rPr>
                <w:rFonts w:ascii="Times New Roman" w:hAnsi="Times New Roman"/>
                <w:color w:val="000000"/>
                <w:sz w:val="18"/>
                <w:szCs w:val="18"/>
              </w:rPr>
              <w:lastRenderedPageBreak/>
              <w:t xml:space="preserve">articolul 277a alineatul (1) litera (b) și cu articolul 277a alineatul (2) pentru setul de compensare; și </w:t>
            </w:r>
          </w:p>
          <w:p w14:paraId="4D5928E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0F8CB87A" wp14:editId="248DEB07">
                  <wp:extent cx="501565" cy="189781"/>
                  <wp:effectExtent l="0" t="0" r="0" b="1270"/>
                  <wp:docPr id="15614566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1961" cy="197498"/>
                          </a:xfrm>
                          <a:prstGeom prst="rect">
                            <a:avLst/>
                          </a:prstGeom>
                          <a:noFill/>
                        </pic:spPr>
                      </pic:pic>
                    </a:graphicData>
                  </a:graphic>
                </wp:inline>
              </w:drawing>
            </w:r>
            <w:r w:rsidRPr="00A96E09">
              <w:rPr>
                <w:rFonts w:ascii="Times New Roman" w:hAnsi="Times New Roman"/>
                <w:color w:val="000000"/>
                <w:sz w:val="18"/>
                <w:szCs w:val="18"/>
              </w:rPr>
              <w:t xml:space="preserve"> = majorarea aferentă categoriei de risc valutar pentru setul de acoperire a riscului j calculat în conformitate cu alineatul (2). </w:t>
            </w:r>
          </w:p>
          <w:p w14:paraId="7082AAD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Instituţiile calculează majorarea aferentă categoriei de risc valutar pentru setul de acoperire a riscului j astfel: </w:t>
            </w:r>
          </w:p>
          <w:p w14:paraId="5FE1B9A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37E22B0" wp14:editId="4905AE27">
                  <wp:extent cx="2373667" cy="293298"/>
                  <wp:effectExtent l="0" t="0" r="0" b="0"/>
                  <wp:docPr id="3447678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29414" cy="300186"/>
                          </a:xfrm>
                          <a:prstGeom prst="rect">
                            <a:avLst/>
                          </a:prstGeom>
                          <a:noFill/>
                        </pic:spPr>
                      </pic:pic>
                    </a:graphicData>
                  </a:graphic>
                </wp:inline>
              </w:drawing>
            </w:r>
          </w:p>
          <w:p w14:paraId="719CF02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2CB5B48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є</w:t>
            </w:r>
            <w:r w:rsidRPr="00A96E09">
              <w:rPr>
                <w:rFonts w:ascii="Times New Roman" w:hAnsi="Times New Roman"/>
                <w:color w:val="000000"/>
                <w:sz w:val="18"/>
                <w:szCs w:val="18"/>
                <w:vertAlign w:val="subscript"/>
              </w:rPr>
              <w:t>j</w:t>
            </w:r>
            <w:r w:rsidRPr="00A96E09">
              <w:rPr>
                <w:rFonts w:ascii="Times New Roman" w:hAnsi="Times New Roman"/>
                <w:color w:val="000000"/>
                <w:sz w:val="18"/>
                <w:szCs w:val="18"/>
              </w:rPr>
              <w:t xml:space="preserve"> = coeficientul factorului impus de autorităţile de supraveghere aferent setului de acoperire a riscului pentru setul de acoperire a riscului j calculat în conformitate cu articolul </w:t>
            </w:r>
            <w:proofErr w:type="gramStart"/>
            <w:r w:rsidRPr="00A96E09">
              <w:rPr>
                <w:rFonts w:ascii="Times New Roman" w:hAnsi="Times New Roman"/>
                <w:color w:val="000000"/>
                <w:sz w:val="18"/>
                <w:szCs w:val="18"/>
              </w:rPr>
              <w:t>280;</w:t>
            </w:r>
            <w:proofErr w:type="gramEnd"/>
            <w:r w:rsidRPr="00A96E09">
              <w:rPr>
                <w:rFonts w:ascii="Times New Roman" w:hAnsi="Times New Roman"/>
                <w:color w:val="000000"/>
                <w:sz w:val="18"/>
                <w:szCs w:val="18"/>
              </w:rPr>
              <w:t xml:space="preserve"> </w:t>
            </w:r>
          </w:p>
          <w:p w14:paraId="51DB66E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SF</w:t>
            </w:r>
            <w:r w:rsidRPr="00A96E09">
              <w:rPr>
                <w:rFonts w:ascii="Times New Roman" w:hAnsi="Times New Roman"/>
                <w:color w:val="000000"/>
                <w:sz w:val="18"/>
                <w:szCs w:val="18"/>
                <w:vertAlign w:val="superscript"/>
              </w:rPr>
              <w:t>FX</w:t>
            </w:r>
            <w:r w:rsidRPr="00A96E09">
              <w:rPr>
                <w:rFonts w:ascii="Times New Roman" w:hAnsi="Times New Roman"/>
                <w:color w:val="000000"/>
                <w:sz w:val="18"/>
                <w:szCs w:val="18"/>
              </w:rPr>
              <w:t xml:space="preserve"> = factorul impus de autorităţile de supraveghere pentru ca- tegoria de risc valutar cu o valoare egală cu </w:t>
            </w:r>
            <w:proofErr w:type="gramStart"/>
            <w:r w:rsidRPr="00A96E09">
              <w:rPr>
                <w:rFonts w:ascii="Times New Roman" w:hAnsi="Times New Roman"/>
                <w:color w:val="000000"/>
                <w:sz w:val="18"/>
                <w:szCs w:val="18"/>
              </w:rPr>
              <w:t>4 %;</w:t>
            </w:r>
            <w:proofErr w:type="gramEnd"/>
            <w:r w:rsidRPr="00A96E09">
              <w:rPr>
                <w:rFonts w:ascii="Times New Roman" w:hAnsi="Times New Roman"/>
                <w:color w:val="000000"/>
                <w:sz w:val="18"/>
                <w:szCs w:val="18"/>
              </w:rPr>
              <w:t xml:space="preserve"> </w:t>
            </w:r>
          </w:p>
          <w:p w14:paraId="690766C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9F6DD84" wp14:editId="0E9CF882">
                  <wp:extent cx="595223" cy="238089"/>
                  <wp:effectExtent l="0" t="0" r="0" b="0"/>
                  <wp:docPr id="99185610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2168" cy="248867"/>
                          </a:xfrm>
                          <a:prstGeom prst="rect">
                            <a:avLst/>
                          </a:prstGeom>
                          <a:noFill/>
                        </pic:spPr>
                      </pic:pic>
                    </a:graphicData>
                  </a:graphic>
                </wp:inline>
              </w:drawing>
            </w:r>
            <w:r w:rsidRPr="00A96E09">
              <w:rPr>
                <w:rFonts w:ascii="Times New Roman" w:hAnsi="Times New Roman"/>
                <w:color w:val="000000"/>
                <w:sz w:val="18"/>
                <w:szCs w:val="18"/>
              </w:rPr>
              <w:t xml:space="preserve">= valoarea noţională efectivă a setului de acoperire a riscului j, calculată după cum urmează: </w:t>
            </w:r>
          </w:p>
          <w:p w14:paraId="5C000A8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6F647E7" wp14:editId="213136FF">
                  <wp:extent cx="2499401" cy="319177"/>
                  <wp:effectExtent l="0" t="0" r="0" b="5080"/>
                  <wp:docPr id="4958700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584944" cy="330101"/>
                          </a:xfrm>
                          <a:prstGeom prst="rect">
                            <a:avLst/>
                          </a:prstGeom>
                          <a:noFill/>
                        </pic:spPr>
                      </pic:pic>
                    </a:graphicData>
                  </a:graphic>
                </wp:inline>
              </w:drawing>
            </w:r>
          </w:p>
          <w:p w14:paraId="08A1F75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DCF4FA3" w14:textId="489B04A5"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color w:val="000000"/>
                <w:sz w:val="18"/>
                <w:szCs w:val="18"/>
              </w:rPr>
              <w:t>l = indicele care desemnează poziţia de risc (RiskPosition).</w:t>
            </w:r>
          </w:p>
        </w:tc>
        <w:tc>
          <w:tcPr>
            <w:tcW w:w="4356" w:type="dxa"/>
          </w:tcPr>
          <w:p w14:paraId="78179273" w14:textId="41997615" w:rsidR="001A4DE8" w:rsidRPr="008070DB" w:rsidRDefault="001A4DE8" w:rsidP="003456B0">
            <w:pPr>
              <w:autoSpaceDE w:val="0"/>
              <w:autoSpaceDN w:val="0"/>
              <w:adjustRightInd w:val="0"/>
              <w:spacing w:before="60" w:after="60"/>
              <w:ind w:firstLine="567"/>
              <w:jc w:val="both"/>
              <w:rPr>
                <w:rFonts w:eastAsiaTheme="minorHAnsi"/>
                <w:i/>
                <w:iCs/>
                <w:color w:val="000000"/>
                <w:sz w:val="18"/>
                <w:szCs w:val="18"/>
                <w:lang w:val="ro-MD" w:eastAsia="en-US"/>
                <w14:ligatures w14:val="standardContextual"/>
              </w:rPr>
            </w:pPr>
            <w:r w:rsidRPr="008070DB">
              <w:rPr>
                <w:rFonts w:eastAsiaTheme="minorHAnsi"/>
                <w:i/>
                <w:iCs/>
                <w:color w:val="000000"/>
                <w:sz w:val="18"/>
                <w:szCs w:val="18"/>
                <w:lang w:val="ro-MD" w:eastAsia="en-US"/>
                <w14:ligatures w14:val="standardContextual"/>
              </w:rPr>
              <w:lastRenderedPageBreak/>
              <w:t>Secțiunea a 11-a</w:t>
            </w:r>
          </w:p>
          <w:p w14:paraId="3B5A405C" w14:textId="77777777" w:rsidR="001A4DE8" w:rsidRPr="008070DB" w:rsidRDefault="001A4DE8" w:rsidP="003456B0">
            <w:pPr>
              <w:autoSpaceDE w:val="0"/>
              <w:autoSpaceDN w:val="0"/>
              <w:adjustRightInd w:val="0"/>
              <w:jc w:val="both"/>
              <w:rPr>
                <w:rFonts w:eastAsiaTheme="minorHAnsi"/>
                <w:b/>
                <w:bCs/>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Majorarea aferentă categoriei de risc valutar</w:t>
            </w:r>
          </w:p>
          <w:p w14:paraId="1063E98F" w14:textId="29A57810" w:rsidR="001A4DE8" w:rsidRPr="008070DB" w:rsidRDefault="00C76A7C"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8</w:t>
            </w:r>
            <w:r w:rsidR="00A60231" w:rsidRPr="008070DB">
              <w:rPr>
                <w:rFonts w:eastAsiaTheme="minorHAnsi"/>
                <w:b/>
                <w:bCs/>
                <w:color w:val="000000"/>
                <w:sz w:val="18"/>
                <w:szCs w:val="18"/>
                <w:lang w:val="ro-MD" w:eastAsia="en-US"/>
                <w14:ligatures w14:val="standardContextual"/>
              </w:rPr>
              <w:t>1</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În sensul punctelor </w:t>
            </w:r>
            <w:r w:rsidRPr="008070DB">
              <w:rPr>
                <w:rFonts w:eastAsiaTheme="minorHAnsi"/>
                <w:color w:val="000000"/>
                <w:sz w:val="18"/>
                <w:szCs w:val="18"/>
                <w:lang w:val="ro-MD" w:eastAsia="en-US"/>
                <w14:ligatures w14:val="standardContextual"/>
              </w:rPr>
              <w:t>6</w:t>
            </w:r>
            <w:r w:rsidR="00A60231" w:rsidRPr="008070DB">
              <w:rPr>
                <w:rFonts w:eastAsiaTheme="minorHAnsi"/>
                <w:color w:val="000000"/>
                <w:sz w:val="18"/>
                <w:szCs w:val="18"/>
                <w:lang w:val="ro-MD" w:eastAsia="en-US"/>
                <w14:ligatures w14:val="standardContextual"/>
              </w:rPr>
              <w:t>6</w:t>
            </w:r>
            <w:r w:rsidR="001A4DE8" w:rsidRPr="008070DB">
              <w:rPr>
                <w:rFonts w:eastAsiaTheme="minorHAnsi"/>
                <w:color w:val="000000"/>
                <w:sz w:val="18"/>
                <w:szCs w:val="18"/>
                <w:lang w:val="ro-MD" w:eastAsia="en-US"/>
                <w14:ligatures w14:val="standardContextual"/>
              </w:rPr>
              <w:t>-</w:t>
            </w:r>
            <w:r w:rsidRPr="008070DB">
              <w:rPr>
                <w:rFonts w:eastAsiaTheme="minorHAnsi"/>
                <w:color w:val="000000"/>
                <w:sz w:val="18"/>
                <w:szCs w:val="18"/>
                <w:lang w:val="ro-MD" w:eastAsia="en-US"/>
                <w14:ligatures w14:val="standardContextual"/>
              </w:rPr>
              <w:t>6</w:t>
            </w:r>
            <w:r w:rsidR="00A60231" w:rsidRPr="008070DB">
              <w:rPr>
                <w:rFonts w:eastAsiaTheme="minorHAnsi"/>
                <w:color w:val="000000"/>
                <w:sz w:val="18"/>
                <w:szCs w:val="18"/>
                <w:lang w:val="ro-MD" w:eastAsia="en-US"/>
                <w14:ligatures w14:val="standardContextual"/>
              </w:rPr>
              <w:t>8</w:t>
            </w:r>
            <w:r w:rsidR="001A4DE8" w:rsidRPr="008070DB">
              <w:rPr>
                <w:rFonts w:eastAsiaTheme="minorHAnsi"/>
                <w:color w:val="000000"/>
                <w:sz w:val="18"/>
                <w:szCs w:val="18"/>
                <w:lang w:val="ro-MD" w:eastAsia="en-US"/>
                <w14:ligatures w14:val="standardContextual"/>
              </w:rPr>
              <w:t xml:space="preserve">, băncile calculează majorarea aferentă categoriei de risc valutar (foreign exchange – FX) pentru un anumit set de compensare după cum urmează: </w:t>
            </w:r>
          </w:p>
          <w:p w14:paraId="6403C825"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011DE14C" wp14:editId="7258CD30">
                  <wp:extent cx="1552575" cy="357863"/>
                  <wp:effectExtent l="0" t="0" r="0" b="4445"/>
                  <wp:docPr id="801053723" name="Picture 80105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82180" cy="364687"/>
                          </a:xfrm>
                          <a:prstGeom prst="rect">
                            <a:avLst/>
                          </a:prstGeom>
                          <a:noFill/>
                        </pic:spPr>
                      </pic:pic>
                    </a:graphicData>
                  </a:graphic>
                </wp:inline>
              </w:drawing>
            </w:r>
          </w:p>
          <w:p w14:paraId="0022324D"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3AF054F1"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AddOn </w:t>
            </w:r>
            <w:r w:rsidRPr="008070DB">
              <w:rPr>
                <w:rFonts w:eastAsiaTheme="minorHAnsi"/>
                <w:color w:val="000000"/>
                <w:sz w:val="18"/>
                <w:szCs w:val="18"/>
                <w:vertAlign w:val="superscript"/>
                <w:lang w:val="ro-MD" w:eastAsia="en-US"/>
                <w14:ligatures w14:val="standardContextual"/>
              </w:rPr>
              <w:t>FX</w:t>
            </w:r>
            <w:r w:rsidRPr="008070DB">
              <w:rPr>
                <w:rFonts w:eastAsiaTheme="minorHAnsi"/>
                <w:color w:val="000000"/>
                <w:sz w:val="18"/>
                <w:szCs w:val="18"/>
                <w:lang w:val="ro-MD" w:eastAsia="en-US"/>
                <w14:ligatures w14:val="standardContextual"/>
              </w:rPr>
              <w:t xml:space="preserve"> = majorarea aferentă categoriei de risc valutar; </w:t>
            </w:r>
          </w:p>
          <w:p w14:paraId="30F77865" w14:textId="03953F3F"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j = indicele care desemnează seturile de acoperire a riscului valutar stabilite în conformitate cu punctul</w:t>
            </w:r>
            <w:r w:rsidR="002C4B00" w:rsidRPr="008070DB">
              <w:rPr>
                <w:rFonts w:eastAsiaTheme="minorHAnsi"/>
                <w:color w:val="000000"/>
                <w:sz w:val="18"/>
                <w:szCs w:val="18"/>
                <w:lang w:val="ro-MD" w:eastAsia="en-US"/>
                <w14:ligatures w14:val="standardContextual"/>
              </w:rPr>
              <w:t xml:space="preserve"> </w:t>
            </w:r>
            <w:r w:rsidR="00C76A7C" w:rsidRPr="008070DB">
              <w:rPr>
                <w:rFonts w:eastAsiaTheme="minorHAnsi"/>
                <w:color w:val="000000"/>
                <w:sz w:val="18"/>
                <w:szCs w:val="18"/>
                <w:lang w:val="ro-MD" w:eastAsia="en-US"/>
                <w14:ligatures w14:val="standardContextual"/>
              </w:rPr>
              <w:t>5</w:t>
            </w:r>
            <w:r w:rsidR="00A60231" w:rsidRPr="008070DB">
              <w:rPr>
                <w:rFonts w:eastAsiaTheme="minorHAnsi"/>
                <w:color w:val="000000"/>
                <w:sz w:val="18"/>
                <w:szCs w:val="18"/>
                <w:lang w:val="ro-MD" w:eastAsia="en-US"/>
                <w14:ligatures w14:val="standardContextual"/>
              </w:rPr>
              <w:t>9</w:t>
            </w:r>
            <w:r w:rsidR="002C4B00" w:rsidRPr="008070DB">
              <w:rPr>
                <w:rFonts w:eastAsiaTheme="minorHAnsi"/>
                <w:color w:val="000000"/>
                <w:sz w:val="18"/>
                <w:szCs w:val="18"/>
                <w:lang w:val="ro-MD" w:eastAsia="en-US"/>
                <w14:ligatures w14:val="standardContextual"/>
              </w:rPr>
              <w:t xml:space="preserve"> </w:t>
            </w:r>
            <w:r w:rsidR="002C4B00" w:rsidRPr="008070DB">
              <w:rPr>
                <w:rFonts w:eastAsiaTheme="minorHAnsi"/>
                <w:color w:val="000000"/>
                <w:sz w:val="18"/>
                <w:szCs w:val="18"/>
                <w:lang w:val="ro-MD" w:eastAsia="en-US"/>
                <w14:ligatures w14:val="standardContextual"/>
              </w:rPr>
              <w:lastRenderedPageBreak/>
              <w:t xml:space="preserve">subpunctul </w:t>
            </w:r>
            <w:r w:rsidR="00C76A7C" w:rsidRPr="008070DB">
              <w:rPr>
                <w:rFonts w:eastAsiaTheme="minorHAnsi"/>
                <w:color w:val="000000"/>
                <w:sz w:val="18"/>
                <w:szCs w:val="18"/>
                <w:lang w:val="ro-MD" w:eastAsia="en-US"/>
                <w14:ligatures w14:val="standardContextual"/>
              </w:rPr>
              <w:t>5</w:t>
            </w:r>
            <w:r w:rsidR="00A60231" w:rsidRPr="008070DB">
              <w:rPr>
                <w:rFonts w:eastAsiaTheme="minorHAnsi"/>
                <w:color w:val="000000"/>
                <w:sz w:val="18"/>
                <w:szCs w:val="18"/>
                <w:lang w:val="ro-MD" w:eastAsia="en-US"/>
                <w14:ligatures w14:val="standardContextual"/>
              </w:rPr>
              <w:t>9</w:t>
            </w:r>
            <w:r w:rsidR="002C4B00" w:rsidRPr="008070DB">
              <w:rPr>
                <w:rFonts w:eastAsiaTheme="minorHAnsi"/>
                <w:color w:val="000000"/>
                <w:sz w:val="18"/>
                <w:szCs w:val="18"/>
                <w:lang w:val="ro-MD" w:eastAsia="en-US"/>
                <w14:ligatures w14:val="standardContextual"/>
              </w:rPr>
              <w:t>.</w:t>
            </w:r>
            <w:r w:rsidR="004832AC" w:rsidRPr="008070DB">
              <w:rPr>
                <w:rFonts w:eastAsiaTheme="minorHAnsi"/>
                <w:color w:val="000000"/>
                <w:sz w:val="18"/>
                <w:szCs w:val="18"/>
                <w:lang w:val="ro-MD" w:eastAsia="en-US"/>
                <w14:ligatures w14:val="standardContextual"/>
              </w:rPr>
              <w:t xml:space="preserve">2. </w:t>
            </w:r>
            <w:r w:rsidRPr="008070DB">
              <w:rPr>
                <w:rFonts w:eastAsiaTheme="minorHAnsi"/>
                <w:color w:val="000000"/>
                <w:sz w:val="18"/>
                <w:szCs w:val="18"/>
                <w:lang w:val="ro-MD" w:eastAsia="en-US"/>
                <w14:ligatures w14:val="standardContextual"/>
              </w:rPr>
              <w:t xml:space="preserve">și cu punctele </w:t>
            </w:r>
            <w:r w:rsidR="00C76A7C" w:rsidRPr="008070DB">
              <w:rPr>
                <w:rFonts w:eastAsiaTheme="minorHAnsi"/>
                <w:color w:val="000000"/>
                <w:sz w:val="18"/>
                <w:szCs w:val="18"/>
                <w:lang w:val="ro-MD" w:eastAsia="en-US"/>
                <w14:ligatures w14:val="standardContextual"/>
              </w:rPr>
              <w:t>6</w:t>
            </w:r>
            <w:r w:rsidR="00A60231" w:rsidRPr="008070DB">
              <w:rPr>
                <w:rFonts w:eastAsiaTheme="minorHAnsi"/>
                <w:color w:val="000000"/>
                <w:sz w:val="18"/>
                <w:szCs w:val="18"/>
                <w:lang w:val="ro-MD" w:eastAsia="en-US"/>
                <w14:ligatures w14:val="standardContextual"/>
              </w:rPr>
              <w:t>1</w:t>
            </w:r>
            <w:r w:rsidRPr="008070DB">
              <w:rPr>
                <w:rFonts w:eastAsiaTheme="minorHAnsi"/>
                <w:color w:val="000000"/>
                <w:sz w:val="18"/>
                <w:szCs w:val="18"/>
                <w:lang w:val="ro-MD" w:eastAsia="en-US"/>
                <w14:ligatures w14:val="standardContextual"/>
              </w:rPr>
              <w:t>-</w:t>
            </w:r>
            <w:r w:rsidR="00C76A7C" w:rsidRPr="008070DB">
              <w:rPr>
                <w:rFonts w:eastAsiaTheme="minorHAnsi"/>
                <w:color w:val="000000"/>
                <w:sz w:val="18"/>
                <w:szCs w:val="18"/>
                <w:lang w:val="ro-MD" w:eastAsia="en-US"/>
                <w14:ligatures w14:val="standardContextual"/>
              </w:rPr>
              <w:t>6</w:t>
            </w:r>
            <w:r w:rsidR="00A60231" w:rsidRPr="008070DB">
              <w:rPr>
                <w:rFonts w:eastAsiaTheme="minorHAnsi"/>
                <w:color w:val="000000"/>
                <w:sz w:val="18"/>
                <w:szCs w:val="18"/>
                <w:lang w:val="ro-MD" w:eastAsia="en-US"/>
                <w14:ligatures w14:val="standardContextual"/>
              </w:rPr>
              <w:t>4</w:t>
            </w:r>
            <w:r w:rsidRPr="008070DB">
              <w:rPr>
                <w:rFonts w:eastAsiaTheme="minorHAnsi"/>
                <w:color w:val="000000"/>
                <w:sz w:val="18"/>
                <w:szCs w:val="18"/>
                <w:lang w:val="ro-MD" w:eastAsia="en-US"/>
                <w14:ligatures w14:val="standardContextual"/>
              </w:rPr>
              <w:t xml:space="preserve"> pentru setul de compensare; și </w:t>
            </w:r>
          </w:p>
          <w:p w14:paraId="20D29090" w14:textId="60FA27CA"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noProof/>
                <w:color w:val="000000"/>
                <w:sz w:val="18"/>
                <w:szCs w:val="18"/>
                <w:lang w:val="ro-MD" w:eastAsia="en-US"/>
                <w14:ligatures w14:val="standardContextual"/>
              </w:rPr>
              <w:drawing>
                <wp:inline distT="0" distB="0" distL="0" distR="0" wp14:anchorId="53C4AD90" wp14:editId="3B434DBF">
                  <wp:extent cx="638355" cy="241540"/>
                  <wp:effectExtent l="0" t="0" r="0" b="6350"/>
                  <wp:docPr id="168272909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52646" cy="246947"/>
                          </a:xfrm>
                          <a:prstGeom prst="rect">
                            <a:avLst/>
                          </a:prstGeom>
                          <a:noFill/>
                        </pic:spPr>
                      </pic:pic>
                    </a:graphicData>
                  </a:graphic>
                </wp:inline>
              </w:drawing>
            </w:r>
            <w:r w:rsidRPr="008070DB">
              <w:rPr>
                <w:rFonts w:eastAsiaTheme="minorHAnsi"/>
                <w:color w:val="000000"/>
                <w:sz w:val="18"/>
                <w:szCs w:val="18"/>
                <w:lang w:val="ro-MD" w:eastAsia="en-US"/>
                <w14:ligatures w14:val="standardContextual"/>
              </w:rPr>
              <w:t xml:space="preserve"> = majorarea aferentă categoriei de risc valutar pentru setul de acoperire a riscului j calculat în conformitate cu punctul </w:t>
            </w:r>
            <w:r w:rsidR="00C76A7C" w:rsidRPr="008070DB">
              <w:rPr>
                <w:rFonts w:eastAsiaTheme="minorHAnsi"/>
                <w:color w:val="000000"/>
                <w:sz w:val="18"/>
                <w:szCs w:val="18"/>
                <w:lang w:val="ro-MD" w:eastAsia="en-US"/>
                <w14:ligatures w14:val="standardContextual"/>
              </w:rPr>
              <w:t>8</w:t>
            </w:r>
            <w:r w:rsidR="00A60231" w:rsidRPr="008070DB">
              <w:rPr>
                <w:rFonts w:eastAsiaTheme="minorHAnsi"/>
                <w:color w:val="000000"/>
                <w:sz w:val="18"/>
                <w:szCs w:val="18"/>
                <w:lang w:val="ro-MD" w:eastAsia="en-US"/>
                <w14:ligatures w14:val="standardContextual"/>
              </w:rPr>
              <w:t>2</w:t>
            </w:r>
            <w:r w:rsidRPr="008070DB">
              <w:rPr>
                <w:rFonts w:eastAsiaTheme="minorHAnsi"/>
                <w:color w:val="000000"/>
                <w:sz w:val="18"/>
                <w:szCs w:val="18"/>
                <w:lang w:val="ro-MD" w:eastAsia="en-US"/>
                <w14:ligatures w14:val="standardContextual"/>
              </w:rPr>
              <w:t xml:space="preserve">. </w:t>
            </w:r>
          </w:p>
          <w:p w14:paraId="49009DEF" w14:textId="59E6BAB3" w:rsidR="001A4DE8" w:rsidRPr="008070DB" w:rsidRDefault="000A7685"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8</w:t>
            </w:r>
            <w:r w:rsidR="00A60231" w:rsidRPr="008070DB">
              <w:rPr>
                <w:rFonts w:eastAsiaTheme="minorHAnsi"/>
                <w:b/>
                <w:bCs/>
                <w:color w:val="000000"/>
                <w:sz w:val="18"/>
                <w:szCs w:val="18"/>
                <w:lang w:val="ro-MD" w:eastAsia="en-US"/>
                <w14:ligatures w14:val="standardContextual"/>
              </w:rPr>
              <w:t>2</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majorarea aferentă categoriei de risc valutar pentru setul de acoperire a riscului j astfel: </w:t>
            </w:r>
          </w:p>
          <w:p w14:paraId="37B7A773"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00A6976" wp14:editId="4A7C9BDF">
                  <wp:extent cx="2235495" cy="276225"/>
                  <wp:effectExtent l="0" t="0" r="0" b="0"/>
                  <wp:docPr id="854601123" name="Picture 85460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64543" cy="279814"/>
                          </a:xfrm>
                          <a:prstGeom prst="rect">
                            <a:avLst/>
                          </a:prstGeom>
                          <a:noFill/>
                        </pic:spPr>
                      </pic:pic>
                    </a:graphicData>
                  </a:graphic>
                </wp:inline>
              </w:drawing>
            </w:r>
          </w:p>
          <w:p w14:paraId="1B9FC783"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5BB5B32C" w14:textId="4E4ACA55"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єj = coeficientul factorului impus de Banca Națională a Moldovei aferent setului de acoperire a riscului pentru setul de acoperire a riscului j calculat în conformitate cu punctul </w:t>
            </w:r>
            <w:r w:rsidR="00C76A7C" w:rsidRPr="008070DB">
              <w:rPr>
                <w:rFonts w:eastAsiaTheme="minorHAnsi"/>
                <w:color w:val="000000"/>
                <w:sz w:val="18"/>
                <w:szCs w:val="18"/>
                <w:lang w:val="ro-MD" w:eastAsia="en-US"/>
                <w14:ligatures w14:val="standardContextual"/>
              </w:rPr>
              <w:t>7</w:t>
            </w:r>
            <w:r w:rsidR="002C4B00" w:rsidRPr="008070DB">
              <w:rPr>
                <w:rFonts w:eastAsiaTheme="minorHAnsi"/>
                <w:color w:val="000000"/>
                <w:sz w:val="18"/>
                <w:szCs w:val="18"/>
                <w:lang w:val="ro-MD" w:eastAsia="en-US"/>
                <w14:ligatures w14:val="standardContextual"/>
              </w:rPr>
              <w:t>7</w:t>
            </w:r>
            <w:r w:rsidRPr="008070DB">
              <w:rPr>
                <w:rFonts w:eastAsiaTheme="minorHAnsi"/>
                <w:color w:val="000000"/>
                <w:sz w:val="18"/>
                <w:szCs w:val="18"/>
                <w:lang w:val="ro-MD" w:eastAsia="en-US"/>
                <w14:ligatures w14:val="standardContextual"/>
              </w:rPr>
              <w:t xml:space="preserve">; </w:t>
            </w:r>
          </w:p>
          <w:p w14:paraId="64A77CDE"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SF</w:t>
            </w:r>
            <w:r w:rsidRPr="008070DB">
              <w:rPr>
                <w:rFonts w:eastAsiaTheme="minorHAnsi"/>
                <w:color w:val="000000"/>
                <w:sz w:val="18"/>
                <w:szCs w:val="18"/>
                <w:vertAlign w:val="superscript"/>
                <w:lang w:val="ro-MD" w:eastAsia="en-US"/>
                <w14:ligatures w14:val="standardContextual"/>
              </w:rPr>
              <w:t>FX</w:t>
            </w:r>
            <w:r w:rsidRPr="008070DB">
              <w:rPr>
                <w:rFonts w:eastAsiaTheme="minorHAnsi"/>
                <w:color w:val="000000"/>
                <w:sz w:val="18"/>
                <w:szCs w:val="18"/>
                <w:lang w:val="ro-MD" w:eastAsia="en-US"/>
                <w14:ligatures w14:val="standardContextual"/>
              </w:rPr>
              <w:t xml:space="preserve"> = factorul impus de Banca Națională a Moldovei pentru categoria de risc valutar cu o valoare egală cu 4 %; </w:t>
            </w:r>
          </w:p>
          <w:p w14:paraId="086E4158"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974A935" wp14:editId="7B8C1F02">
                  <wp:extent cx="595223" cy="238089"/>
                  <wp:effectExtent l="0" t="0" r="0" b="0"/>
                  <wp:docPr id="1186302501" name="Picture 11863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2168" cy="248867"/>
                          </a:xfrm>
                          <a:prstGeom prst="rect">
                            <a:avLst/>
                          </a:prstGeom>
                          <a:noFill/>
                        </pic:spPr>
                      </pic:pic>
                    </a:graphicData>
                  </a:graphic>
                </wp:inline>
              </w:drawing>
            </w:r>
            <w:r w:rsidRPr="008070DB">
              <w:rPr>
                <w:rFonts w:ascii="Times New Roman" w:hAnsi="Times New Roman" w:cs="Times New Roman"/>
                <w:sz w:val="18"/>
                <w:szCs w:val="18"/>
              </w:rPr>
              <w:t xml:space="preserve"> = valoarea noţională efectivă a setului de acoperire a riscului j, calculată după cum urmează: </w:t>
            </w:r>
          </w:p>
          <w:p w14:paraId="08CD87A4"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498E77E0" wp14:editId="7999B8CB">
                  <wp:extent cx="2163054" cy="276225"/>
                  <wp:effectExtent l="0" t="0" r="8890" b="0"/>
                  <wp:docPr id="664401372" name="Picture 66440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28071" cy="284528"/>
                          </a:xfrm>
                          <a:prstGeom prst="rect">
                            <a:avLst/>
                          </a:prstGeom>
                          <a:noFill/>
                        </pic:spPr>
                      </pic:pic>
                    </a:graphicData>
                  </a:graphic>
                </wp:inline>
              </w:drawing>
            </w:r>
          </w:p>
          <w:p w14:paraId="4FD95AAC"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607845E2"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l = indicele care desemnează poziţia de risc (RiskPosition). </w:t>
            </w:r>
          </w:p>
          <w:p w14:paraId="19E32629"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CA9B72F"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0783902"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52EFCF9" w14:textId="193C2FA0"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26ABD7B7" w14:textId="19533D95"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15A025A8" w14:textId="77777777" w:rsidR="001A4DE8" w:rsidRPr="00A96E09" w:rsidRDefault="001A4DE8" w:rsidP="00C14AF6">
            <w:pPr>
              <w:jc w:val="both"/>
              <w:rPr>
                <w:sz w:val="18"/>
                <w:szCs w:val="18"/>
                <w:lang w:val="ro-MD"/>
              </w:rPr>
            </w:pPr>
          </w:p>
        </w:tc>
      </w:tr>
      <w:tr w:rsidR="001A4DE8" w:rsidRPr="00A96E09" w14:paraId="585769BF" w14:textId="77777777" w:rsidTr="00C14AF6">
        <w:trPr>
          <w:trHeight w:val="918"/>
        </w:trPr>
        <w:tc>
          <w:tcPr>
            <w:tcW w:w="3866" w:type="dxa"/>
          </w:tcPr>
          <w:p w14:paraId="1F07D8DA" w14:textId="599F054E"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t xml:space="preserve">Articolul 280c </w:t>
            </w:r>
            <w:r w:rsidRPr="00A96E09">
              <w:rPr>
                <w:rFonts w:ascii="Times New Roman" w:hAnsi="Times New Roman"/>
                <w:b/>
                <w:bCs/>
                <w:color w:val="000000"/>
                <w:sz w:val="18"/>
                <w:szCs w:val="18"/>
              </w:rPr>
              <w:t>Majorarea aferentă categoriei de risc de credit</w:t>
            </w:r>
          </w:p>
          <w:p w14:paraId="0B16DCA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În sensul alineatului (2), instituţiile stabilesc entităţile de referinţă relevante privind creditul pentru setul de compensare în conformitate cu următoarele: </w:t>
            </w:r>
          </w:p>
          <w:p w14:paraId="071C4BD0" w14:textId="101D017F"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 pentru fiecare emitent al unui instrument de datorie de referinţă care este suport al unei tranzacţii având la bază o singură semnătură </w:t>
            </w:r>
            <w:r w:rsidRPr="00A96E09">
              <w:rPr>
                <w:rFonts w:ascii="Times New Roman" w:hAnsi="Times New Roman"/>
                <w:color w:val="000000"/>
                <w:sz w:val="18"/>
                <w:szCs w:val="18"/>
              </w:rPr>
              <w:lastRenderedPageBreak/>
              <w:t xml:space="preserve">atribuite categoriei de risc de credit există o singură entitate de referinţă privind creditul; tranzacţiile având la bază o singură semnătură sunt atribuite aceleiași entităţi de referinţă privind creditul numai în cazul în care instrumentul de datorie de referinţă care este suport al tranzacţiilor respective este emis de același </w:t>
            </w:r>
            <w:proofErr w:type="gramStart"/>
            <w:r w:rsidRPr="00A96E09">
              <w:rPr>
                <w:rFonts w:ascii="Times New Roman" w:hAnsi="Times New Roman"/>
                <w:color w:val="000000"/>
                <w:sz w:val="18"/>
                <w:szCs w:val="18"/>
              </w:rPr>
              <w:t>emitent;</w:t>
            </w:r>
            <w:proofErr w:type="gramEnd"/>
          </w:p>
          <w:p w14:paraId="63952D2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pentru fiecare grup de instrumente de datorie de referinţă sau de instrumente financiare derivate de credit având la bază o singură semnătură care sunt suport al unei tranzacţii având la bază mai multe semnături atribuite categoriei de risc de credit există o singură entitate de referinţă privind creditul; tranzacţiile având la bază mai multe semnături sunt atribuite aceleiași entităţi de referinţă privind creditul numai în cazul în care grupul de instrumente de datorie de referinţă sau de instrumente financiare derivate de credit având la bază o singură semnătură care sunt suport al tranzacţiilor respective au aceleași componente. </w:t>
            </w:r>
          </w:p>
          <w:p w14:paraId="6CF2DD2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În sensul articolului 278, instituţiile calculează majorarea aferentă categoriei de risc de credit pentru un anumit set de compensare după cum urmează: </w:t>
            </w:r>
          </w:p>
          <w:p w14:paraId="3C1C12A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4249BC9" wp14:editId="3B796C80">
                  <wp:extent cx="2139351" cy="417591"/>
                  <wp:effectExtent l="0" t="0" r="0" b="1905"/>
                  <wp:docPr id="17067336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03353" cy="430084"/>
                          </a:xfrm>
                          <a:prstGeom prst="rect">
                            <a:avLst/>
                          </a:prstGeom>
                          <a:noFill/>
                        </pic:spPr>
                      </pic:pic>
                    </a:graphicData>
                  </a:graphic>
                </wp:inline>
              </w:drawing>
            </w:r>
          </w:p>
          <w:p w14:paraId="1C03EAD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D54AB4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AddOn</w:t>
            </w:r>
            <w:r w:rsidRPr="00A96E09">
              <w:rPr>
                <w:rFonts w:ascii="Times New Roman" w:hAnsi="Times New Roman"/>
                <w:color w:val="000000"/>
                <w:sz w:val="18"/>
                <w:szCs w:val="18"/>
                <w:vertAlign w:val="superscript"/>
              </w:rPr>
              <w:t>Credit</w:t>
            </w:r>
            <w:r w:rsidRPr="00A96E09">
              <w:rPr>
                <w:rFonts w:ascii="Times New Roman" w:hAnsi="Times New Roman"/>
                <w:color w:val="000000"/>
                <w:sz w:val="18"/>
                <w:szCs w:val="18"/>
              </w:rPr>
              <w:t xml:space="preserve"> = majorarea aferentă categoriei de risc de </w:t>
            </w:r>
            <w:proofErr w:type="gramStart"/>
            <w:r w:rsidRPr="00A96E09">
              <w:rPr>
                <w:rFonts w:ascii="Times New Roman" w:hAnsi="Times New Roman"/>
                <w:color w:val="000000"/>
                <w:sz w:val="18"/>
                <w:szCs w:val="18"/>
              </w:rPr>
              <w:t>credit;</w:t>
            </w:r>
            <w:proofErr w:type="gramEnd"/>
            <w:r w:rsidRPr="00A96E09">
              <w:rPr>
                <w:rFonts w:ascii="Times New Roman" w:hAnsi="Times New Roman"/>
                <w:color w:val="000000"/>
                <w:sz w:val="18"/>
                <w:szCs w:val="18"/>
              </w:rPr>
              <w:t xml:space="preserve"> </w:t>
            </w:r>
          </w:p>
          <w:p w14:paraId="143B514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j = indicele care desemnează toate seturile de acoperire a riscului de credit stabilite în conformitate cu articolul 277a alineatul (1) litera (c) și cu articolul 277a alineatul (2) pentru setul de compensare; și </w:t>
            </w:r>
          </w:p>
          <w:p w14:paraId="42A906A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lastRenderedPageBreak/>
              <w:drawing>
                <wp:inline distT="0" distB="0" distL="0" distR="0" wp14:anchorId="3C44355B" wp14:editId="1FBFA925">
                  <wp:extent cx="690113" cy="216041"/>
                  <wp:effectExtent l="0" t="0" r="0" b="0"/>
                  <wp:docPr id="1727405661"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8897" cy="225052"/>
                          </a:xfrm>
                          <a:prstGeom prst="rect">
                            <a:avLst/>
                          </a:prstGeom>
                          <a:noFill/>
                          <a:ln>
                            <a:noFill/>
                          </a:ln>
                        </pic:spPr>
                      </pic:pic>
                    </a:graphicData>
                  </a:graphic>
                </wp:inline>
              </w:drawing>
            </w:r>
            <w:r w:rsidRPr="00A96E09">
              <w:rPr>
                <w:rFonts w:ascii="Times New Roman" w:hAnsi="Times New Roman"/>
                <w:color w:val="000000"/>
                <w:sz w:val="18"/>
                <w:szCs w:val="18"/>
              </w:rPr>
              <w:t xml:space="preserve"> = majorarea aferentă categoriei de risc de credit pentru setul de acoperire a riscului j calculat în conformitate cu alineatul (3). </w:t>
            </w:r>
          </w:p>
          <w:p w14:paraId="6970040F" w14:textId="43CF1E02"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(3) Instituţiile calculează majorarea aferentă categoriei de risc de credit pentru setul de acoperire a riscului j după cum urmează: </w:t>
            </w:r>
          </w:p>
          <w:p w14:paraId="0958AEC9"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16C8B60D" wp14:editId="2CFCE0BF">
                  <wp:extent cx="2717081" cy="293298"/>
                  <wp:effectExtent l="0" t="0" r="0" b="0"/>
                  <wp:docPr id="1245691354"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20758" cy="304489"/>
                          </a:xfrm>
                          <a:prstGeom prst="rect">
                            <a:avLst/>
                          </a:prstGeom>
                          <a:noFill/>
                          <a:ln>
                            <a:noFill/>
                          </a:ln>
                        </pic:spPr>
                      </pic:pic>
                    </a:graphicData>
                  </a:graphic>
                </wp:inline>
              </w:drawing>
            </w:r>
          </w:p>
          <w:p w14:paraId="2A3607B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75D4031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7C46D8EC" wp14:editId="44FCD842">
                  <wp:extent cx="689610" cy="215884"/>
                  <wp:effectExtent l="0" t="0" r="0" b="0"/>
                  <wp:docPr id="937377684"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05628" cy="220898"/>
                          </a:xfrm>
                          <a:prstGeom prst="rect">
                            <a:avLst/>
                          </a:prstGeom>
                          <a:noFill/>
                          <a:ln>
                            <a:noFill/>
                          </a:ln>
                        </pic:spPr>
                      </pic:pic>
                    </a:graphicData>
                  </a:graphic>
                </wp:inline>
              </w:drawing>
            </w:r>
            <w:r w:rsidRPr="00A96E09">
              <w:rPr>
                <w:rFonts w:ascii="Times New Roman" w:hAnsi="Times New Roman"/>
                <w:color w:val="000000"/>
                <w:sz w:val="18"/>
                <w:szCs w:val="18"/>
              </w:rPr>
              <w:t xml:space="preserve"> = majorarea aferentă categoriei de risc de credit pe- ntru setul de acoperire a riscului </w:t>
            </w:r>
            <w:proofErr w:type="gramStart"/>
            <w:r w:rsidRPr="00A96E09">
              <w:rPr>
                <w:rFonts w:ascii="Times New Roman" w:hAnsi="Times New Roman"/>
                <w:color w:val="000000"/>
                <w:sz w:val="18"/>
                <w:szCs w:val="18"/>
              </w:rPr>
              <w:t>j;</w:t>
            </w:r>
            <w:proofErr w:type="gramEnd"/>
            <w:r w:rsidRPr="00A96E09">
              <w:rPr>
                <w:rFonts w:ascii="Times New Roman" w:hAnsi="Times New Roman"/>
                <w:color w:val="000000"/>
                <w:sz w:val="18"/>
                <w:szCs w:val="18"/>
              </w:rPr>
              <w:t xml:space="preserve"> </w:t>
            </w:r>
          </w:p>
          <w:p w14:paraId="6187D8A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є</w:t>
            </w:r>
            <w:r w:rsidRPr="00A96E09">
              <w:rPr>
                <w:rFonts w:ascii="Times New Roman" w:hAnsi="Times New Roman"/>
                <w:color w:val="000000"/>
                <w:sz w:val="18"/>
                <w:szCs w:val="18"/>
                <w:vertAlign w:val="subscript"/>
              </w:rPr>
              <w:t>j</w:t>
            </w:r>
            <w:r w:rsidRPr="00A96E09">
              <w:rPr>
                <w:rFonts w:ascii="Times New Roman" w:hAnsi="Times New Roman"/>
                <w:color w:val="000000"/>
                <w:sz w:val="18"/>
                <w:szCs w:val="18"/>
              </w:rPr>
              <w:t xml:space="preserve"> = coeficientul factorului impus de autorităţile de su- praveghere aferent setului de acoperire a riscului pentru setul de acoperire a riscului j determinat în conformitate cu articolul </w:t>
            </w:r>
            <w:proofErr w:type="gramStart"/>
            <w:r w:rsidRPr="00A96E09">
              <w:rPr>
                <w:rFonts w:ascii="Times New Roman" w:hAnsi="Times New Roman"/>
                <w:color w:val="000000"/>
                <w:sz w:val="18"/>
                <w:szCs w:val="18"/>
              </w:rPr>
              <w:t>280;</w:t>
            </w:r>
            <w:proofErr w:type="gramEnd"/>
            <w:r w:rsidRPr="00A96E09">
              <w:rPr>
                <w:rFonts w:ascii="Times New Roman" w:hAnsi="Times New Roman"/>
                <w:color w:val="000000"/>
                <w:sz w:val="18"/>
                <w:szCs w:val="18"/>
              </w:rPr>
              <w:t xml:space="preserve"> </w:t>
            </w:r>
          </w:p>
          <w:p w14:paraId="33907C2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k = indicele care desemnează entităţile de referinţă privind creditul ale setului de compensare stabilit în conformitate cu alineatul (1</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48F6CD9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3014600" wp14:editId="52E748AA">
                  <wp:extent cx="517585" cy="283608"/>
                  <wp:effectExtent l="0" t="0" r="0" b="2540"/>
                  <wp:docPr id="17425305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1977" cy="291494"/>
                          </a:xfrm>
                          <a:prstGeom prst="rect">
                            <a:avLst/>
                          </a:prstGeom>
                          <a:noFill/>
                        </pic:spPr>
                      </pic:pic>
                    </a:graphicData>
                  </a:graphic>
                </wp:inline>
              </w:drawing>
            </w:r>
            <w:r w:rsidRPr="00A96E09">
              <w:rPr>
                <w:rFonts w:ascii="Times New Roman" w:hAnsi="Times New Roman"/>
                <w:color w:val="000000"/>
                <w:sz w:val="18"/>
                <w:szCs w:val="18"/>
              </w:rPr>
              <w:t xml:space="preserve"> = factorul de corelare al entităţii de referinţă privind creditul „k”; atunci când entitatea de referinţă privind creditul „k” s-a stabilit în conformitate cu alineatul (1) litera (a),</w:t>
            </w:r>
          </w:p>
          <w:p w14:paraId="3F38E36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0DDB735C" wp14:editId="36E53C7B">
                  <wp:extent cx="1022878" cy="267419"/>
                  <wp:effectExtent l="0" t="0" r="6350" b="0"/>
                  <wp:docPr id="119539447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42611" cy="272578"/>
                          </a:xfrm>
                          <a:prstGeom prst="rect">
                            <a:avLst/>
                          </a:prstGeom>
                          <a:noFill/>
                        </pic:spPr>
                      </pic:pic>
                    </a:graphicData>
                  </a:graphic>
                </wp:inline>
              </w:drawing>
            </w:r>
          </w:p>
          <w:p w14:paraId="0478DB4F" w14:textId="77777777" w:rsidR="001A4DE8" w:rsidRPr="00A96E09" w:rsidRDefault="001A4DE8" w:rsidP="003456B0">
            <w:pPr>
              <w:pStyle w:val="CM4"/>
              <w:spacing w:before="60" w:after="60"/>
              <w:jc w:val="both"/>
              <w:rPr>
                <w:rFonts w:ascii="Times New Roman" w:hAnsi="Times New Roman"/>
                <w:color w:val="000000"/>
                <w:sz w:val="18"/>
                <w:szCs w:val="18"/>
              </w:rPr>
            </w:pPr>
          </w:p>
          <w:p w14:paraId="2B8226F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atunci când entitatea de referinţă privind cr- editul „k” s-a stabilit în conformitate cu alineatul (1) litera (b)</w:t>
            </w:r>
          </w:p>
          <w:p w14:paraId="3B1D8D3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134E0D08" wp14:editId="3456B749">
                  <wp:extent cx="1009290" cy="263867"/>
                  <wp:effectExtent l="0" t="0" r="635" b="3175"/>
                  <wp:docPr id="836629249"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8919" cy="266384"/>
                          </a:xfrm>
                          <a:prstGeom prst="rect">
                            <a:avLst/>
                          </a:prstGeom>
                          <a:noFill/>
                        </pic:spPr>
                      </pic:pic>
                    </a:graphicData>
                  </a:graphic>
                </wp:inline>
              </w:drawing>
            </w:r>
          </w:p>
          <w:p w14:paraId="77BFA61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 și </w:t>
            </w:r>
          </w:p>
          <w:p w14:paraId="0E5386CB"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lastRenderedPageBreak/>
              <w:t>AddOn(</w:t>
            </w:r>
            <w:proofErr w:type="gramEnd"/>
            <w:r w:rsidRPr="00A96E09">
              <w:rPr>
                <w:rFonts w:ascii="Times New Roman" w:hAnsi="Times New Roman"/>
                <w:color w:val="000000"/>
                <w:sz w:val="18"/>
                <w:szCs w:val="18"/>
              </w:rPr>
              <w:t>Entitate</w:t>
            </w:r>
            <w:r w:rsidRPr="00A96E09">
              <w:rPr>
                <w:rFonts w:ascii="Times New Roman" w:hAnsi="Times New Roman"/>
                <w:color w:val="000000"/>
                <w:sz w:val="18"/>
                <w:szCs w:val="18"/>
                <w:vertAlign w:val="subscript"/>
              </w:rPr>
              <w:t>k</w:t>
            </w:r>
            <w:r w:rsidRPr="00A96E09">
              <w:rPr>
                <w:rFonts w:ascii="Times New Roman" w:hAnsi="Times New Roman"/>
                <w:color w:val="000000"/>
                <w:sz w:val="18"/>
                <w:szCs w:val="18"/>
              </w:rPr>
              <w:t xml:space="preserve">) = majorarea pentru entitatea de referinţă privind creditul k determinată în conformitate cu alineatul (4). </w:t>
            </w:r>
          </w:p>
          <w:p w14:paraId="3566C35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(4) Instituţiile calculează majorarea pentru entitatea de referinţă privind creditul k după cum urmează: </w:t>
            </w:r>
          </w:p>
          <w:p w14:paraId="4260667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DC23B04" wp14:editId="1F5EFDF1">
                  <wp:extent cx="2070340" cy="228735"/>
                  <wp:effectExtent l="0" t="0" r="6350" b="0"/>
                  <wp:docPr id="15792871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149205" cy="237448"/>
                          </a:xfrm>
                          <a:prstGeom prst="rect">
                            <a:avLst/>
                          </a:prstGeom>
                          <a:noFill/>
                        </pic:spPr>
                      </pic:pic>
                    </a:graphicData>
                  </a:graphic>
                </wp:inline>
              </w:drawing>
            </w:r>
          </w:p>
          <w:p w14:paraId="07472A1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0256AF3" w14:textId="0CAF1A2E"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noProof/>
                <w:color w:val="000000"/>
                <w:sz w:val="18"/>
                <w:szCs w:val="18"/>
              </w:rPr>
              <w:drawing>
                <wp:inline distT="0" distB="0" distL="0" distR="0" wp14:anchorId="1A40D933" wp14:editId="44D93A6A">
                  <wp:extent cx="672860" cy="200317"/>
                  <wp:effectExtent l="0" t="0" r="0" b="9525"/>
                  <wp:docPr id="106155715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81320" cy="202836"/>
                          </a:xfrm>
                          <a:prstGeom prst="rect">
                            <a:avLst/>
                          </a:prstGeom>
                          <a:noFill/>
                        </pic:spPr>
                      </pic:pic>
                    </a:graphicData>
                  </a:graphic>
                </wp:inline>
              </w:drawing>
            </w:r>
            <w:r w:rsidRPr="00A96E09">
              <w:rPr>
                <w:rFonts w:ascii="Times New Roman" w:hAnsi="Times New Roman"/>
                <w:color w:val="000000"/>
                <w:sz w:val="18"/>
                <w:szCs w:val="18"/>
              </w:rPr>
              <w:t xml:space="preserve">= valoarea noţională efectivă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entităţii de referinţă privind creditul k, calculată după cum urmează: </w:t>
            </w:r>
          </w:p>
          <w:p w14:paraId="4684BC87"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5CA2D9E2" wp14:editId="6E8DAA16">
                  <wp:extent cx="2664365" cy="241539"/>
                  <wp:effectExtent l="0" t="0" r="3175" b="6350"/>
                  <wp:docPr id="9051063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9778" cy="266507"/>
                          </a:xfrm>
                          <a:prstGeom prst="rect">
                            <a:avLst/>
                          </a:prstGeom>
                          <a:noFill/>
                        </pic:spPr>
                      </pic:pic>
                    </a:graphicData>
                  </a:graphic>
                </wp:inline>
              </w:drawing>
            </w:r>
          </w:p>
          <w:p w14:paraId="6D414F1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7D854E6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l = indicele care desemnează poziţia de risc (RiskPosition); și </w:t>
            </w:r>
          </w:p>
          <w:p w14:paraId="7E1E704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4BC2F8EA" wp14:editId="11D40AA4">
                  <wp:extent cx="534838" cy="258405"/>
                  <wp:effectExtent l="0" t="0" r="0" b="8890"/>
                  <wp:docPr id="336170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3097" cy="262395"/>
                          </a:xfrm>
                          <a:prstGeom prst="rect">
                            <a:avLst/>
                          </a:prstGeom>
                          <a:noFill/>
                        </pic:spPr>
                      </pic:pic>
                    </a:graphicData>
                  </a:graphic>
                </wp:inline>
              </w:drawing>
            </w:r>
            <w:r w:rsidRPr="00A96E09">
              <w:rPr>
                <w:rFonts w:ascii="Times New Roman" w:hAnsi="Times New Roman"/>
                <w:color w:val="000000"/>
                <w:sz w:val="18"/>
                <w:szCs w:val="18"/>
              </w:rPr>
              <w:t xml:space="preserve">= factorul impus de autorităţile de supraveghere aplicabil entităţii de referinţă privind creditul k calculat în conformitate cu alineatul (5). </w:t>
            </w:r>
          </w:p>
          <w:p w14:paraId="70C74FE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(5) Instituţiile calculează factorul impus de autorităţile de supraveghere aplicabil entităţii de referinţă privind creditul k după cum urmează: </w:t>
            </w:r>
          </w:p>
          <w:p w14:paraId="29513C9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 pentru entitatea de referinţă privind creditul k stabilită în conformitate cu alineatul (1) litera (a),</w:t>
            </w:r>
          </w:p>
          <w:p w14:paraId="2C8E477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0EA9030F" wp14:editId="04E702E3">
                  <wp:extent cx="551092" cy="264160"/>
                  <wp:effectExtent l="0" t="0" r="1905" b="2540"/>
                  <wp:docPr id="872194660"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267" cy="275748"/>
                          </a:xfrm>
                          <a:prstGeom prst="rect">
                            <a:avLst/>
                          </a:prstGeom>
                          <a:noFill/>
                          <a:ln>
                            <a:noFill/>
                          </a:ln>
                        </pic:spPr>
                      </pic:pic>
                    </a:graphicData>
                  </a:graphic>
                </wp:inline>
              </w:drawing>
            </w:r>
          </w:p>
          <w:p w14:paraId="6957AB0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este pus în corespondenţă cu unul dintre cei șase factori impuși de autorităţile de supraveghere prevăzuţi în tabelul 3 de la prezentul alineat pe baza unei evaluări externe a creditului efectuată de o ECAI desemnată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emitentului individual corespunzător; în cazul unui emitent individual </w:t>
            </w:r>
            <w:r w:rsidRPr="00A96E09">
              <w:rPr>
                <w:rFonts w:ascii="Times New Roman" w:hAnsi="Times New Roman"/>
                <w:color w:val="000000"/>
                <w:sz w:val="18"/>
                <w:szCs w:val="18"/>
              </w:rPr>
              <w:lastRenderedPageBreak/>
              <w:t xml:space="preserve">pentru care nu este disponibilă o evaluare a creditului efectuată de o ECAI desemnată: </w:t>
            </w:r>
          </w:p>
          <w:p w14:paraId="63499B8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o instituţie care utilizează abordarea menţionată la capitolul 3 pune în corespondenţă ratingul intern al emitentului individual cu una dintre evaluările externe ale </w:t>
            </w:r>
            <w:proofErr w:type="gramStart"/>
            <w:r w:rsidRPr="00A96E09">
              <w:rPr>
                <w:rFonts w:ascii="Times New Roman" w:hAnsi="Times New Roman"/>
                <w:color w:val="000000"/>
                <w:sz w:val="18"/>
                <w:szCs w:val="18"/>
              </w:rPr>
              <w:t>creditului;</w:t>
            </w:r>
            <w:proofErr w:type="gramEnd"/>
            <w:r w:rsidRPr="00A96E09">
              <w:rPr>
                <w:rFonts w:ascii="Times New Roman" w:hAnsi="Times New Roman"/>
                <w:color w:val="000000"/>
                <w:sz w:val="18"/>
                <w:szCs w:val="18"/>
              </w:rPr>
              <w:t xml:space="preserve"> </w:t>
            </w:r>
          </w:p>
          <w:p w14:paraId="19E0CF1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o instituţie care utilizează abordarea menţionată în capitolul 2 atribuie un </w:t>
            </w:r>
          </w:p>
          <w:p w14:paraId="60760DB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2D6666ED" wp14:editId="4C876F3C">
                  <wp:extent cx="1190445" cy="273739"/>
                  <wp:effectExtent l="0" t="0" r="0" b="0"/>
                  <wp:docPr id="27259023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05891" cy="277291"/>
                          </a:xfrm>
                          <a:prstGeom prst="rect">
                            <a:avLst/>
                          </a:prstGeom>
                          <a:noFill/>
                        </pic:spPr>
                      </pic:pic>
                    </a:graphicData>
                  </a:graphic>
                </wp:inline>
              </w:drawing>
            </w:r>
          </w:p>
          <w:p w14:paraId="2BF8BCD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respectivei entităţi de referinţă privind creditul; cu toate acestea, în cazul în care o instituţie aplică articolul 128 pentru a pondera la risc expunerile la riscul de credit al contrapărţii faţă de acest emitent individual, se atribuie un </w:t>
            </w:r>
          </w:p>
          <w:p w14:paraId="0072112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02C3222C" wp14:editId="1302AF81">
                  <wp:extent cx="1095555" cy="269194"/>
                  <wp:effectExtent l="0" t="0" r="0" b="0"/>
                  <wp:docPr id="17772695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3386" cy="280947"/>
                          </a:xfrm>
                          <a:prstGeom prst="rect">
                            <a:avLst/>
                          </a:prstGeom>
                          <a:noFill/>
                        </pic:spPr>
                      </pic:pic>
                    </a:graphicData>
                  </a:graphic>
                </wp:inline>
              </w:drawing>
            </w:r>
          </w:p>
          <w:p w14:paraId="3309A93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respectivei entităţi de referinţă privind </w:t>
            </w:r>
            <w:proofErr w:type="gramStart"/>
            <w:r w:rsidRPr="00A96E09">
              <w:rPr>
                <w:rFonts w:ascii="Times New Roman" w:hAnsi="Times New Roman"/>
                <w:color w:val="000000"/>
                <w:sz w:val="18"/>
                <w:szCs w:val="18"/>
              </w:rPr>
              <w:t>creditul;</w:t>
            </w:r>
            <w:proofErr w:type="gramEnd"/>
            <w:r w:rsidRPr="00A96E09">
              <w:rPr>
                <w:rFonts w:ascii="Times New Roman" w:hAnsi="Times New Roman"/>
                <w:color w:val="000000"/>
                <w:sz w:val="18"/>
                <w:szCs w:val="18"/>
              </w:rPr>
              <w:t xml:space="preserve"> </w:t>
            </w:r>
          </w:p>
          <w:p w14:paraId="14AE645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pentru entităţile de referinţă privind creditul k stabilite în conformitate cu alineatul (1) litera (b): </w:t>
            </w:r>
          </w:p>
          <w:p w14:paraId="014C91D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în cazul în care o poziţie de risc l atribuită entităţii de referinţă privind creditul k este un indice de credit cotat la o bursă recunoscută, </w:t>
            </w:r>
          </w:p>
          <w:p w14:paraId="7183F60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6913A036" wp14:editId="30F618E0">
                  <wp:extent cx="569343" cy="275076"/>
                  <wp:effectExtent l="0" t="0" r="2540" b="0"/>
                  <wp:docPr id="128530798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87682" cy="283937"/>
                          </a:xfrm>
                          <a:prstGeom prst="rect">
                            <a:avLst/>
                          </a:prstGeom>
                          <a:noFill/>
                        </pic:spPr>
                      </pic:pic>
                    </a:graphicData>
                  </a:graphic>
                </wp:inline>
              </w:drawing>
            </w:r>
          </w:p>
          <w:p w14:paraId="6E834C7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este pus în corespondenţă cu unul dintre cei doi factori impuși de autorităţile de supraveghere prezentaţi în tabelul 4 de la prezentul alineat, pe baza calităţii creditului majorităţii componentelor individuale ale </w:t>
            </w:r>
            <w:proofErr w:type="gramStart"/>
            <w:r w:rsidRPr="00A96E09">
              <w:rPr>
                <w:rFonts w:ascii="Times New Roman" w:hAnsi="Times New Roman"/>
                <w:color w:val="000000"/>
                <w:sz w:val="18"/>
                <w:szCs w:val="18"/>
              </w:rPr>
              <w:t>acestuia;</w:t>
            </w:r>
            <w:proofErr w:type="gramEnd"/>
            <w:r w:rsidRPr="00A96E09">
              <w:rPr>
                <w:rFonts w:ascii="Times New Roman" w:hAnsi="Times New Roman"/>
                <w:color w:val="000000"/>
                <w:sz w:val="18"/>
                <w:szCs w:val="18"/>
              </w:rPr>
              <w:t xml:space="preserve"> </w:t>
            </w:r>
          </w:p>
          <w:p w14:paraId="3E19690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în cazul în care o poziţie de risc l atribuită entităţii de referinţă privind creditul k nu este menţionată la punctul (i) de la prezenta literă, </w:t>
            </w:r>
          </w:p>
          <w:p w14:paraId="6FDF8F8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6C251A5F" wp14:editId="667195E9">
                  <wp:extent cx="577970" cy="279244"/>
                  <wp:effectExtent l="0" t="0" r="0" b="6985"/>
                  <wp:docPr id="1670494167"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776" cy="287364"/>
                          </a:xfrm>
                          <a:prstGeom prst="rect">
                            <a:avLst/>
                          </a:prstGeom>
                          <a:noFill/>
                        </pic:spPr>
                      </pic:pic>
                    </a:graphicData>
                  </a:graphic>
                </wp:inline>
              </w:drawing>
            </w:r>
          </w:p>
          <w:p w14:paraId="6E931C2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este media ponderată a factorilor impuși de autorităţile de supraveghere puși în corespondenţă </w:t>
            </w:r>
            <w:r w:rsidRPr="00A96E09">
              <w:rPr>
                <w:rFonts w:ascii="Times New Roman" w:hAnsi="Times New Roman"/>
                <w:color w:val="000000"/>
                <w:sz w:val="18"/>
                <w:szCs w:val="18"/>
              </w:rPr>
              <w:lastRenderedPageBreak/>
              <w:t xml:space="preserve">cu fiecare componentă în conformitate cu metoda prevăzută la litera (a), ponderile fiind date de proporţia valorii noţionale a componentelor incluse în această poziţie. </w:t>
            </w:r>
          </w:p>
          <w:p w14:paraId="1CAB7E1A" w14:textId="77777777"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i/>
                <w:iCs/>
                <w:color w:val="000000"/>
                <w:sz w:val="18"/>
                <w:szCs w:val="18"/>
              </w:rPr>
              <w:t>Tabelul 3</w:t>
            </w:r>
          </w:p>
          <w:tbl>
            <w:tblPr>
              <w:tblW w:w="40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020"/>
              <w:gridCol w:w="3022"/>
            </w:tblGrid>
            <w:tr w:rsidR="001A4DE8" w:rsidRPr="00EB7E01" w14:paraId="2F558824" w14:textId="77777777" w:rsidTr="00B11411">
              <w:trPr>
                <w:trHeight w:val="7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7A116A02" w14:textId="77777777" w:rsidR="001A4DE8" w:rsidRPr="00A96E09" w:rsidRDefault="001A4DE8" w:rsidP="00EB7E01">
                  <w:pPr>
                    <w:framePr w:hSpace="180" w:wrap="around" w:vAnchor="text" w:hAnchor="text" w:y="1"/>
                    <w:spacing w:before="60" w:after="60" w:line="312" w:lineRule="atLeast"/>
                    <w:suppressOverlap/>
                    <w:jc w:val="both"/>
                    <w:rPr>
                      <w:b/>
                      <w:bCs/>
                      <w:color w:val="333333"/>
                      <w:sz w:val="18"/>
                      <w:szCs w:val="18"/>
                      <w:lang w:val="en-US" w:eastAsia="ro-MD"/>
                    </w:rPr>
                  </w:pPr>
                  <w:r w:rsidRPr="00A96E09">
                    <w:rPr>
                      <w:b/>
                      <w:bCs/>
                      <w:color w:val="333333"/>
                      <w:sz w:val="18"/>
                      <w:szCs w:val="18"/>
                      <w:lang w:val="en-US" w:eastAsia="ro-MD"/>
                    </w:rPr>
                    <w:t>Nivelul de calitate a creditului</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091CC245" w14:textId="77777777" w:rsidR="001A4DE8" w:rsidRPr="00A96E09" w:rsidRDefault="001A4DE8" w:rsidP="00EB7E01">
                  <w:pPr>
                    <w:framePr w:hSpace="180" w:wrap="around" w:vAnchor="text" w:hAnchor="text" w:y="1"/>
                    <w:spacing w:before="60" w:after="60" w:line="312" w:lineRule="atLeast"/>
                    <w:suppressOverlap/>
                    <w:jc w:val="both"/>
                    <w:rPr>
                      <w:b/>
                      <w:bCs/>
                      <w:color w:val="333333"/>
                      <w:sz w:val="18"/>
                      <w:szCs w:val="18"/>
                      <w:lang w:val="en-US" w:eastAsia="ro-MD"/>
                    </w:rPr>
                  </w:pPr>
                  <w:r w:rsidRPr="00A96E09">
                    <w:rPr>
                      <w:b/>
                      <w:bCs/>
                      <w:color w:val="333333"/>
                      <w:sz w:val="18"/>
                      <w:szCs w:val="18"/>
                      <w:lang w:val="en-US" w:eastAsia="ro-MD"/>
                    </w:rPr>
                    <w:t>Factorul impus de autoritățile de supraveghere pentru tranzacții având la bază o singură semnătură</w:t>
                  </w:r>
                </w:p>
              </w:tc>
            </w:tr>
            <w:tr w:rsidR="001A4DE8" w:rsidRPr="00A96E09" w14:paraId="7345741F" w14:textId="77777777" w:rsidTr="00B11411">
              <w:trPr>
                <w:trHeight w:val="431"/>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7F5493F5"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1</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6ABD17C3"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0,38 %</w:t>
                  </w:r>
                </w:p>
              </w:tc>
            </w:tr>
            <w:tr w:rsidR="001A4DE8" w:rsidRPr="00A96E09" w14:paraId="7E45416F"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4A84B2C3"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2</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5FCAB316"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0,42 %</w:t>
                  </w:r>
                </w:p>
              </w:tc>
            </w:tr>
            <w:tr w:rsidR="001A4DE8" w:rsidRPr="00A96E09" w14:paraId="53198B64"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41EC357D"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3</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1DCCC11F"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0,54 %</w:t>
                  </w:r>
                </w:p>
              </w:tc>
            </w:tr>
            <w:tr w:rsidR="001A4DE8" w:rsidRPr="00A96E09" w14:paraId="7995BAE3" w14:textId="77777777" w:rsidTr="00B11411">
              <w:trPr>
                <w:trHeight w:val="431"/>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16055FF6"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4</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673F11AB"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1,06 %</w:t>
                  </w:r>
                </w:p>
              </w:tc>
            </w:tr>
            <w:tr w:rsidR="001A4DE8" w:rsidRPr="00A96E09" w14:paraId="32970458"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002F9AA4"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5</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3D4C48F0"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1,6 %</w:t>
                  </w:r>
                </w:p>
              </w:tc>
            </w:tr>
            <w:tr w:rsidR="001A4DE8" w:rsidRPr="00A96E09" w14:paraId="01454A5E" w14:textId="77777777" w:rsidTr="00B11411">
              <w:trPr>
                <w:trHeight w:val="418"/>
              </w:trPr>
              <w:tc>
                <w:tcPr>
                  <w:tcW w:w="1020" w:type="dxa"/>
                  <w:tcBorders>
                    <w:top w:val="outset" w:sz="6" w:space="0" w:color="auto"/>
                    <w:left w:val="outset" w:sz="6" w:space="0" w:color="auto"/>
                    <w:bottom w:val="outset" w:sz="6" w:space="0" w:color="auto"/>
                    <w:right w:val="outset" w:sz="6" w:space="0" w:color="auto"/>
                  </w:tcBorders>
                  <w:shd w:val="clear" w:color="auto" w:fill="FFFFFF"/>
                  <w:hideMark/>
                </w:tcPr>
                <w:p w14:paraId="668E6E12"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6</w:t>
                  </w:r>
                </w:p>
              </w:tc>
              <w:tc>
                <w:tcPr>
                  <w:tcW w:w="3022" w:type="dxa"/>
                  <w:tcBorders>
                    <w:top w:val="outset" w:sz="6" w:space="0" w:color="auto"/>
                    <w:left w:val="outset" w:sz="6" w:space="0" w:color="auto"/>
                    <w:bottom w:val="outset" w:sz="6" w:space="0" w:color="auto"/>
                    <w:right w:val="outset" w:sz="6" w:space="0" w:color="auto"/>
                  </w:tcBorders>
                  <w:shd w:val="clear" w:color="auto" w:fill="FFFFFF"/>
                  <w:hideMark/>
                </w:tcPr>
                <w:p w14:paraId="01219B09" w14:textId="77777777" w:rsidR="001A4DE8" w:rsidRPr="00A96E09" w:rsidRDefault="001A4DE8" w:rsidP="00EB7E01">
                  <w:pPr>
                    <w:framePr w:hSpace="180" w:wrap="around" w:vAnchor="text" w:hAnchor="text" w:y="1"/>
                    <w:spacing w:before="60" w:after="60" w:line="312" w:lineRule="atLeast"/>
                    <w:suppressOverlap/>
                    <w:jc w:val="both"/>
                    <w:rPr>
                      <w:color w:val="333333"/>
                      <w:sz w:val="18"/>
                      <w:szCs w:val="18"/>
                      <w:lang w:eastAsia="ro-MD"/>
                    </w:rPr>
                  </w:pPr>
                  <w:r w:rsidRPr="00A96E09">
                    <w:rPr>
                      <w:color w:val="333333"/>
                      <w:sz w:val="18"/>
                      <w:szCs w:val="18"/>
                      <w:lang w:eastAsia="ro-MD"/>
                    </w:rPr>
                    <w:t>6,0 %</w:t>
                  </w:r>
                </w:p>
              </w:tc>
            </w:tr>
          </w:tbl>
          <w:p w14:paraId="5A429E10" w14:textId="77777777" w:rsidR="001A4DE8" w:rsidRPr="00A96E09" w:rsidRDefault="001A4DE8" w:rsidP="003456B0">
            <w:pPr>
              <w:pStyle w:val="Default"/>
              <w:jc w:val="both"/>
              <w:rPr>
                <w:rFonts w:ascii="Times New Roman" w:hAnsi="Times New Roman" w:cs="Times New Roman"/>
                <w:sz w:val="18"/>
                <w:szCs w:val="18"/>
              </w:rPr>
            </w:pPr>
          </w:p>
          <w:p w14:paraId="48B6ADB4" w14:textId="77777777"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i/>
                <w:iCs/>
                <w:color w:val="000000"/>
                <w:sz w:val="18"/>
                <w:szCs w:val="18"/>
              </w:rPr>
              <w:t>Tabelul 4</w:t>
            </w:r>
          </w:p>
          <w:tbl>
            <w:tblPr>
              <w:tblW w:w="399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57"/>
              <w:gridCol w:w="2539"/>
            </w:tblGrid>
            <w:tr w:rsidR="001A4DE8" w:rsidRPr="00EB7E01" w14:paraId="6B0BD62B" w14:textId="77777777" w:rsidTr="00B11411">
              <w:trPr>
                <w:trHeight w:val="909"/>
              </w:trPr>
              <w:tc>
                <w:tcPr>
                  <w:tcW w:w="1457" w:type="dxa"/>
                  <w:tcBorders>
                    <w:top w:val="outset" w:sz="6" w:space="0" w:color="auto"/>
                    <w:left w:val="outset" w:sz="6" w:space="0" w:color="auto"/>
                    <w:bottom w:val="outset" w:sz="6" w:space="0" w:color="auto"/>
                    <w:right w:val="outset" w:sz="6" w:space="0" w:color="auto"/>
                  </w:tcBorders>
                  <w:shd w:val="clear" w:color="auto" w:fill="FFFFFF"/>
                  <w:hideMark/>
                </w:tcPr>
                <w:p w14:paraId="2332B479" w14:textId="77777777" w:rsidR="001A4DE8" w:rsidRPr="00A96E09" w:rsidRDefault="001A4DE8" w:rsidP="00EB7E01">
                  <w:pPr>
                    <w:framePr w:hSpace="180" w:wrap="around" w:vAnchor="text" w:hAnchor="text" w:y="1"/>
                    <w:spacing w:before="60"/>
                    <w:suppressOverlap/>
                    <w:jc w:val="both"/>
                    <w:rPr>
                      <w:b/>
                      <w:bCs/>
                      <w:color w:val="333333"/>
                      <w:sz w:val="18"/>
                      <w:szCs w:val="18"/>
                      <w:lang w:eastAsia="ro-MD"/>
                    </w:rPr>
                  </w:pPr>
                  <w:r w:rsidRPr="00A96E09">
                    <w:rPr>
                      <w:b/>
                      <w:bCs/>
                      <w:color w:val="333333"/>
                      <w:sz w:val="18"/>
                      <w:szCs w:val="18"/>
                      <w:lang w:eastAsia="ro-MD"/>
                    </w:rPr>
                    <w:t>Calitatea creditului dominantă</w:t>
                  </w:r>
                </w:p>
              </w:tc>
              <w:tc>
                <w:tcPr>
                  <w:tcW w:w="2539" w:type="dxa"/>
                  <w:tcBorders>
                    <w:top w:val="outset" w:sz="6" w:space="0" w:color="auto"/>
                    <w:left w:val="outset" w:sz="6" w:space="0" w:color="auto"/>
                    <w:bottom w:val="outset" w:sz="6" w:space="0" w:color="auto"/>
                    <w:right w:val="outset" w:sz="6" w:space="0" w:color="auto"/>
                  </w:tcBorders>
                  <w:shd w:val="clear" w:color="auto" w:fill="FFFFFF"/>
                  <w:hideMark/>
                </w:tcPr>
                <w:p w14:paraId="6B4256E1" w14:textId="77777777" w:rsidR="001A4DE8" w:rsidRPr="00A96E09" w:rsidRDefault="001A4DE8" w:rsidP="00EB7E01">
                  <w:pPr>
                    <w:framePr w:hSpace="180" w:wrap="around" w:vAnchor="text" w:hAnchor="text" w:y="1"/>
                    <w:spacing w:before="60"/>
                    <w:suppressOverlap/>
                    <w:jc w:val="both"/>
                    <w:rPr>
                      <w:b/>
                      <w:bCs/>
                      <w:color w:val="333333"/>
                      <w:sz w:val="18"/>
                      <w:szCs w:val="18"/>
                      <w:lang w:val="en-US" w:eastAsia="ro-MD"/>
                    </w:rPr>
                  </w:pPr>
                  <w:r w:rsidRPr="00A96E09">
                    <w:rPr>
                      <w:b/>
                      <w:bCs/>
                      <w:color w:val="333333"/>
                      <w:sz w:val="18"/>
                      <w:szCs w:val="18"/>
                      <w:lang w:val="en-US" w:eastAsia="ro-MD"/>
                    </w:rPr>
                    <w:t>Factorul impus de autoritățile de supraveghere pentru indici cotați</w:t>
                  </w:r>
                </w:p>
              </w:tc>
            </w:tr>
            <w:tr w:rsidR="001A4DE8" w:rsidRPr="00A96E09" w14:paraId="3F14C519" w14:textId="77777777" w:rsidTr="00B11411">
              <w:trPr>
                <w:trHeight w:val="542"/>
              </w:trPr>
              <w:tc>
                <w:tcPr>
                  <w:tcW w:w="1457" w:type="dxa"/>
                  <w:tcBorders>
                    <w:top w:val="outset" w:sz="6" w:space="0" w:color="auto"/>
                    <w:left w:val="outset" w:sz="6" w:space="0" w:color="auto"/>
                    <w:bottom w:val="outset" w:sz="6" w:space="0" w:color="auto"/>
                    <w:right w:val="outset" w:sz="6" w:space="0" w:color="auto"/>
                  </w:tcBorders>
                  <w:shd w:val="clear" w:color="auto" w:fill="FFFFFF"/>
                  <w:hideMark/>
                </w:tcPr>
                <w:p w14:paraId="40242722" w14:textId="77777777" w:rsidR="001A4DE8" w:rsidRPr="00A96E09" w:rsidRDefault="001A4DE8" w:rsidP="00EB7E01">
                  <w:pPr>
                    <w:framePr w:hSpace="180" w:wrap="around" w:vAnchor="text" w:hAnchor="text" w:y="1"/>
                    <w:spacing w:before="60"/>
                    <w:suppressOverlap/>
                    <w:jc w:val="both"/>
                    <w:rPr>
                      <w:color w:val="333333"/>
                      <w:sz w:val="18"/>
                      <w:szCs w:val="18"/>
                      <w:lang w:eastAsia="ro-MD"/>
                    </w:rPr>
                  </w:pPr>
                  <w:r w:rsidRPr="00A96E09">
                    <w:rPr>
                      <w:color w:val="333333"/>
                      <w:sz w:val="18"/>
                      <w:szCs w:val="18"/>
                      <w:lang w:eastAsia="ro-MD"/>
                    </w:rPr>
                    <w:t>Categoria investment grade</w:t>
                  </w:r>
                </w:p>
              </w:tc>
              <w:tc>
                <w:tcPr>
                  <w:tcW w:w="2539" w:type="dxa"/>
                  <w:tcBorders>
                    <w:top w:val="outset" w:sz="6" w:space="0" w:color="auto"/>
                    <w:left w:val="outset" w:sz="6" w:space="0" w:color="auto"/>
                    <w:bottom w:val="outset" w:sz="6" w:space="0" w:color="auto"/>
                    <w:right w:val="outset" w:sz="6" w:space="0" w:color="auto"/>
                  </w:tcBorders>
                  <w:shd w:val="clear" w:color="auto" w:fill="FFFFFF"/>
                  <w:hideMark/>
                </w:tcPr>
                <w:p w14:paraId="45FE1267" w14:textId="77777777" w:rsidR="001A4DE8" w:rsidRPr="00A96E09" w:rsidRDefault="001A4DE8" w:rsidP="00EB7E01">
                  <w:pPr>
                    <w:framePr w:hSpace="180" w:wrap="around" w:vAnchor="text" w:hAnchor="text" w:y="1"/>
                    <w:spacing w:before="60"/>
                    <w:suppressOverlap/>
                    <w:jc w:val="both"/>
                    <w:rPr>
                      <w:color w:val="333333"/>
                      <w:sz w:val="18"/>
                      <w:szCs w:val="18"/>
                      <w:lang w:eastAsia="ro-MD"/>
                    </w:rPr>
                  </w:pPr>
                  <w:r w:rsidRPr="00A96E09">
                    <w:rPr>
                      <w:color w:val="333333"/>
                      <w:sz w:val="18"/>
                      <w:szCs w:val="18"/>
                      <w:lang w:eastAsia="ro-MD"/>
                    </w:rPr>
                    <w:t>0,38 %</w:t>
                  </w:r>
                </w:p>
              </w:tc>
            </w:tr>
            <w:tr w:rsidR="001A4DE8" w:rsidRPr="00A96E09" w14:paraId="1EAFB592" w14:textId="77777777" w:rsidTr="00B11411">
              <w:trPr>
                <w:trHeight w:val="909"/>
              </w:trPr>
              <w:tc>
                <w:tcPr>
                  <w:tcW w:w="1457" w:type="dxa"/>
                  <w:tcBorders>
                    <w:top w:val="outset" w:sz="6" w:space="0" w:color="auto"/>
                    <w:left w:val="outset" w:sz="6" w:space="0" w:color="auto"/>
                    <w:bottom w:val="outset" w:sz="6" w:space="0" w:color="auto"/>
                    <w:right w:val="outset" w:sz="6" w:space="0" w:color="auto"/>
                  </w:tcBorders>
                  <w:shd w:val="clear" w:color="auto" w:fill="FFFFFF"/>
                  <w:hideMark/>
                </w:tcPr>
                <w:p w14:paraId="1ADA1518" w14:textId="77777777" w:rsidR="001A4DE8" w:rsidRPr="00A96E09" w:rsidRDefault="001A4DE8" w:rsidP="00EB7E01">
                  <w:pPr>
                    <w:framePr w:hSpace="180" w:wrap="around" w:vAnchor="text" w:hAnchor="text" w:y="1"/>
                    <w:spacing w:before="60"/>
                    <w:suppressOverlap/>
                    <w:jc w:val="both"/>
                    <w:rPr>
                      <w:color w:val="333333"/>
                      <w:sz w:val="18"/>
                      <w:szCs w:val="18"/>
                      <w:lang w:eastAsia="ro-MD"/>
                    </w:rPr>
                  </w:pPr>
                  <w:r w:rsidRPr="00A96E09">
                    <w:rPr>
                      <w:color w:val="333333"/>
                      <w:sz w:val="18"/>
                      <w:szCs w:val="18"/>
                      <w:lang w:eastAsia="ro-MD"/>
                    </w:rPr>
                    <w:lastRenderedPageBreak/>
                    <w:t>Categoria non-investment grade</w:t>
                  </w:r>
                </w:p>
              </w:tc>
              <w:tc>
                <w:tcPr>
                  <w:tcW w:w="2539" w:type="dxa"/>
                  <w:tcBorders>
                    <w:top w:val="outset" w:sz="6" w:space="0" w:color="auto"/>
                    <w:left w:val="outset" w:sz="6" w:space="0" w:color="auto"/>
                    <w:bottom w:val="outset" w:sz="6" w:space="0" w:color="auto"/>
                    <w:right w:val="outset" w:sz="6" w:space="0" w:color="auto"/>
                  </w:tcBorders>
                  <w:shd w:val="clear" w:color="auto" w:fill="FFFFFF"/>
                  <w:hideMark/>
                </w:tcPr>
                <w:p w14:paraId="3B67F85C" w14:textId="77777777" w:rsidR="001A4DE8" w:rsidRPr="00A96E09" w:rsidRDefault="001A4DE8" w:rsidP="00EB7E01">
                  <w:pPr>
                    <w:framePr w:hSpace="180" w:wrap="around" w:vAnchor="text" w:hAnchor="text" w:y="1"/>
                    <w:spacing w:before="60"/>
                    <w:suppressOverlap/>
                    <w:jc w:val="both"/>
                    <w:rPr>
                      <w:color w:val="333333"/>
                      <w:sz w:val="18"/>
                      <w:szCs w:val="18"/>
                      <w:lang w:eastAsia="ro-MD"/>
                    </w:rPr>
                  </w:pPr>
                  <w:r w:rsidRPr="00A96E09">
                    <w:rPr>
                      <w:color w:val="333333"/>
                      <w:sz w:val="18"/>
                      <w:szCs w:val="18"/>
                      <w:lang w:eastAsia="ro-MD"/>
                    </w:rPr>
                    <w:t>1,06 %</w:t>
                  </w:r>
                </w:p>
              </w:tc>
            </w:tr>
          </w:tbl>
          <w:p w14:paraId="76CF2D57" w14:textId="77777777" w:rsidR="001A4DE8" w:rsidRPr="00A96E09" w:rsidRDefault="001A4DE8" w:rsidP="003456B0">
            <w:pPr>
              <w:pStyle w:val="CM4"/>
              <w:spacing w:before="60" w:after="60"/>
              <w:jc w:val="both"/>
              <w:rPr>
                <w:rFonts w:ascii="Times New Roman" w:hAnsi="Times New Roman"/>
                <w:i/>
                <w:iCs/>
                <w:color w:val="000000"/>
                <w:sz w:val="18"/>
                <w:szCs w:val="18"/>
              </w:rPr>
            </w:pPr>
          </w:p>
        </w:tc>
        <w:tc>
          <w:tcPr>
            <w:tcW w:w="4356" w:type="dxa"/>
          </w:tcPr>
          <w:p w14:paraId="2E90FEF6" w14:textId="71E45DDD" w:rsidR="001A4DE8" w:rsidRPr="008070DB" w:rsidRDefault="001A4DE8" w:rsidP="003456B0">
            <w:pPr>
              <w:pStyle w:val="CM4"/>
              <w:spacing w:before="60" w:after="60"/>
              <w:ind w:firstLine="567"/>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Secțiunea a 12-a</w:t>
            </w:r>
          </w:p>
          <w:p w14:paraId="0B91EBC0" w14:textId="77777777" w:rsidR="001A4DE8" w:rsidRPr="008070DB" w:rsidRDefault="001A4DE8" w:rsidP="003456B0">
            <w:pPr>
              <w:pStyle w:val="Default"/>
              <w:ind w:firstLine="567"/>
              <w:jc w:val="both"/>
              <w:rPr>
                <w:rFonts w:ascii="Times New Roman" w:hAnsi="Times New Roman" w:cs="Times New Roman"/>
                <w:b/>
                <w:bCs/>
                <w:sz w:val="18"/>
                <w:szCs w:val="18"/>
              </w:rPr>
            </w:pPr>
            <w:r w:rsidRPr="008070DB">
              <w:rPr>
                <w:rFonts w:ascii="Times New Roman" w:hAnsi="Times New Roman" w:cs="Times New Roman"/>
                <w:b/>
                <w:bCs/>
                <w:sz w:val="18"/>
                <w:szCs w:val="18"/>
              </w:rPr>
              <w:t>Majorarea aferentă categoriei de risc de credit</w:t>
            </w:r>
          </w:p>
          <w:p w14:paraId="780DEA0E" w14:textId="35485A7A"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8</w:t>
            </w:r>
            <w:r w:rsidR="00A60231" w:rsidRPr="008070DB">
              <w:rPr>
                <w:rFonts w:ascii="Times New Roman" w:hAnsi="Times New Roman" w:cs="Times New Roman"/>
                <w:b/>
                <w:bCs/>
                <w:sz w:val="18"/>
                <w:szCs w:val="18"/>
              </w:rPr>
              <w:t>3</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În sensul punctului </w:t>
            </w:r>
            <w:r w:rsidRPr="008070DB">
              <w:rPr>
                <w:rFonts w:ascii="Times New Roman" w:hAnsi="Times New Roman" w:cs="Times New Roman"/>
                <w:sz w:val="18"/>
                <w:szCs w:val="18"/>
              </w:rPr>
              <w:t>8</w:t>
            </w:r>
            <w:r w:rsidR="00A60231" w:rsidRPr="008070DB">
              <w:rPr>
                <w:rFonts w:ascii="Times New Roman" w:hAnsi="Times New Roman" w:cs="Times New Roman"/>
                <w:sz w:val="18"/>
                <w:szCs w:val="18"/>
              </w:rPr>
              <w:t>4</w:t>
            </w:r>
            <w:r w:rsidR="001A4DE8" w:rsidRPr="008070DB">
              <w:rPr>
                <w:rFonts w:ascii="Times New Roman" w:hAnsi="Times New Roman" w:cs="Times New Roman"/>
                <w:sz w:val="18"/>
                <w:szCs w:val="18"/>
              </w:rPr>
              <w:t xml:space="preserve">, băncile stabilesc entităţile de referinţă relevante privind creditul pentru setul de compensare în conformitate cu următoarele: </w:t>
            </w:r>
          </w:p>
          <w:p w14:paraId="48D91BF6" w14:textId="78C090CF"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004832AC" w:rsidRPr="008070DB">
              <w:rPr>
                <w:rFonts w:ascii="Times New Roman" w:hAnsi="Times New Roman" w:cs="Times New Roman"/>
                <w:sz w:val="18"/>
                <w:szCs w:val="18"/>
              </w:rPr>
              <w:t>.1.</w:t>
            </w:r>
            <w:r w:rsidR="001A4DE8" w:rsidRPr="008070DB">
              <w:rPr>
                <w:rFonts w:ascii="Times New Roman" w:hAnsi="Times New Roman" w:cs="Times New Roman"/>
                <w:sz w:val="18"/>
                <w:szCs w:val="18"/>
              </w:rPr>
              <w:t xml:space="preserve"> pentru fiecare emitent al unui instrument de datorie de referinţă care este suport al unei tranzacţii având la bază o singură semnătură atribuite categoriei de risc de credit există o singură entitate de referinţă privind </w:t>
            </w:r>
            <w:r w:rsidR="001A4DE8" w:rsidRPr="008070DB">
              <w:rPr>
                <w:rFonts w:ascii="Times New Roman" w:hAnsi="Times New Roman" w:cs="Times New Roman"/>
                <w:sz w:val="18"/>
                <w:szCs w:val="18"/>
              </w:rPr>
              <w:lastRenderedPageBreak/>
              <w:t xml:space="preserve">creditul; tranzacţiile având la bază o singură semnătură sunt atribuite aceleiași entităţi de referinţă privind creditul numai în cazul în care instrumentul de datorie de referinţă care este suport al tranzacţiilor respective este emis de același </w:t>
            </w:r>
            <w:proofErr w:type="gramStart"/>
            <w:r w:rsidR="001A4DE8" w:rsidRPr="008070DB">
              <w:rPr>
                <w:rFonts w:ascii="Times New Roman" w:hAnsi="Times New Roman" w:cs="Times New Roman"/>
                <w:sz w:val="18"/>
                <w:szCs w:val="18"/>
              </w:rPr>
              <w:t>emitent;</w:t>
            </w:r>
            <w:proofErr w:type="gramEnd"/>
            <w:r w:rsidR="001A4DE8" w:rsidRPr="008070DB">
              <w:rPr>
                <w:rFonts w:ascii="Times New Roman" w:hAnsi="Times New Roman" w:cs="Times New Roman"/>
                <w:sz w:val="18"/>
                <w:szCs w:val="18"/>
              </w:rPr>
              <w:t xml:space="preserve"> </w:t>
            </w:r>
          </w:p>
          <w:p w14:paraId="4C129664" w14:textId="69458599"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004832AC" w:rsidRPr="008070DB">
              <w:rPr>
                <w:rFonts w:ascii="Times New Roman" w:hAnsi="Times New Roman" w:cs="Times New Roman"/>
                <w:sz w:val="18"/>
                <w:szCs w:val="18"/>
              </w:rPr>
              <w:t>.2.</w:t>
            </w:r>
            <w:r w:rsidR="001A4DE8" w:rsidRPr="008070DB">
              <w:rPr>
                <w:rFonts w:ascii="Times New Roman" w:hAnsi="Times New Roman" w:cs="Times New Roman"/>
                <w:sz w:val="18"/>
                <w:szCs w:val="18"/>
              </w:rPr>
              <w:t xml:space="preserve"> pentru fiecare grup de instrumente de datorie de referinţă sau de instrumente financiare derivate de credit având la bază o singură semnătură care sunt suport al unei tranzacţii având la bază mai multe semnături atribuite categoriei de risc de credit există o singură entitate de referinţă privind creditul; tranzacţiile având la bază mai multe semnături sunt atribuite aceleiași entităţi de referinţă privind creditul numai în cazul în care grupul de instrumente de datorie de referinţă sau de instrumente financiare derivate de credit având la bază o singură semnătură care sunt suport al tranzacţiilor respective au aceleași componente. </w:t>
            </w:r>
          </w:p>
          <w:p w14:paraId="002054FF" w14:textId="582C76DC"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8</w:t>
            </w:r>
            <w:r w:rsidR="00A60231" w:rsidRPr="008070DB">
              <w:rPr>
                <w:rFonts w:ascii="Times New Roman" w:hAnsi="Times New Roman" w:cs="Times New Roman"/>
                <w:b/>
                <w:bCs/>
                <w:sz w:val="18"/>
                <w:szCs w:val="18"/>
              </w:rPr>
              <w:t>4</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În sensul punctelor </w:t>
            </w:r>
            <w:r w:rsidRPr="008070DB">
              <w:rPr>
                <w:rFonts w:ascii="Times New Roman" w:hAnsi="Times New Roman" w:cs="Times New Roman"/>
                <w:sz w:val="18"/>
                <w:szCs w:val="18"/>
              </w:rPr>
              <w:t>6</w:t>
            </w:r>
            <w:r w:rsidR="00A60231" w:rsidRPr="008070DB">
              <w:rPr>
                <w:rFonts w:ascii="Times New Roman" w:hAnsi="Times New Roman" w:cs="Times New Roman"/>
                <w:sz w:val="18"/>
                <w:szCs w:val="18"/>
              </w:rPr>
              <w:t>6</w:t>
            </w:r>
            <w:r w:rsidR="002C4B00" w:rsidRPr="008070DB">
              <w:rPr>
                <w:rFonts w:ascii="Times New Roman" w:hAnsi="Times New Roman" w:cs="Times New Roman"/>
                <w:sz w:val="18"/>
                <w:szCs w:val="18"/>
              </w:rPr>
              <w:t>-</w:t>
            </w:r>
            <w:r w:rsidRPr="008070DB">
              <w:rPr>
                <w:rFonts w:ascii="Times New Roman" w:hAnsi="Times New Roman" w:cs="Times New Roman"/>
                <w:sz w:val="18"/>
                <w:szCs w:val="18"/>
              </w:rPr>
              <w:t>6</w:t>
            </w:r>
            <w:r w:rsidR="00A60231" w:rsidRPr="008070DB">
              <w:rPr>
                <w:rFonts w:ascii="Times New Roman" w:hAnsi="Times New Roman" w:cs="Times New Roman"/>
                <w:sz w:val="18"/>
                <w:szCs w:val="18"/>
              </w:rPr>
              <w:t>8</w:t>
            </w:r>
            <w:r w:rsidR="001A4DE8" w:rsidRPr="008070DB">
              <w:rPr>
                <w:rFonts w:ascii="Times New Roman" w:hAnsi="Times New Roman" w:cs="Times New Roman"/>
                <w:sz w:val="18"/>
                <w:szCs w:val="18"/>
              </w:rPr>
              <w:t xml:space="preserve">, băncile calculează majorarea aferentă categoriei de risc de credit pentru un anumit set de compensare după cum urmează: </w:t>
            </w:r>
          </w:p>
          <w:p w14:paraId="736965D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F86159D" wp14:editId="45F7FEA7">
                  <wp:extent cx="2139351" cy="417591"/>
                  <wp:effectExtent l="0" t="0" r="0" b="1905"/>
                  <wp:docPr id="526303868" name="Picture 526303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03353" cy="430084"/>
                          </a:xfrm>
                          <a:prstGeom prst="rect">
                            <a:avLst/>
                          </a:prstGeom>
                          <a:noFill/>
                        </pic:spPr>
                      </pic:pic>
                    </a:graphicData>
                  </a:graphic>
                </wp:inline>
              </w:drawing>
            </w:r>
          </w:p>
          <w:p w14:paraId="2D75EE70"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unde: </w:t>
            </w:r>
          </w:p>
          <w:p w14:paraId="2048F90F" w14:textId="7777777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AddOn</w:t>
            </w:r>
            <w:r w:rsidRPr="008070DB">
              <w:rPr>
                <w:rFonts w:eastAsiaTheme="minorHAnsi"/>
                <w:color w:val="000000"/>
                <w:sz w:val="18"/>
                <w:szCs w:val="18"/>
                <w:vertAlign w:val="superscript"/>
                <w:lang w:val="ro-MD" w:eastAsia="en-US"/>
                <w14:ligatures w14:val="standardContextual"/>
              </w:rPr>
              <w:t>Credit</w:t>
            </w:r>
            <w:r w:rsidRPr="008070DB">
              <w:rPr>
                <w:rFonts w:eastAsiaTheme="minorHAnsi"/>
                <w:color w:val="000000"/>
                <w:sz w:val="18"/>
                <w:szCs w:val="18"/>
                <w:lang w:val="ro-MD" w:eastAsia="en-US"/>
                <w14:ligatures w14:val="standardContextual"/>
              </w:rPr>
              <w:t xml:space="preserve"> = majorarea aferentă categoriei de risc de credit; </w:t>
            </w:r>
          </w:p>
          <w:p w14:paraId="2A877B09" w14:textId="0FA7FBAD"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j = indicele care desemnează toate seturile de acoperire a riscului de credit stabilite în conformitate cu punctul </w:t>
            </w:r>
            <w:r w:rsidR="00C76A7C" w:rsidRPr="008070DB">
              <w:rPr>
                <w:rFonts w:eastAsiaTheme="minorHAnsi"/>
                <w:color w:val="000000"/>
                <w:sz w:val="18"/>
                <w:szCs w:val="18"/>
                <w:lang w:val="ro-MD" w:eastAsia="en-US"/>
                <w14:ligatures w14:val="standardContextual"/>
              </w:rPr>
              <w:t>5</w:t>
            </w:r>
            <w:r w:rsidR="00A60231" w:rsidRPr="008070DB">
              <w:rPr>
                <w:rFonts w:eastAsiaTheme="minorHAnsi"/>
                <w:color w:val="000000"/>
                <w:sz w:val="18"/>
                <w:szCs w:val="18"/>
                <w:lang w:val="ro-MD" w:eastAsia="en-US"/>
                <w14:ligatures w14:val="standardContextual"/>
              </w:rPr>
              <w:t>9</w:t>
            </w:r>
            <w:r w:rsidR="00CA6CDC" w:rsidRPr="008070DB">
              <w:rPr>
                <w:rFonts w:eastAsiaTheme="minorHAnsi"/>
                <w:color w:val="000000"/>
                <w:sz w:val="18"/>
                <w:szCs w:val="18"/>
                <w:lang w:val="ro-MD" w:eastAsia="en-US"/>
                <w14:ligatures w14:val="standardContextual"/>
              </w:rPr>
              <w:t xml:space="preserve"> subpunctul </w:t>
            </w:r>
            <w:r w:rsidR="00C76A7C" w:rsidRPr="008070DB">
              <w:rPr>
                <w:rFonts w:eastAsiaTheme="minorHAnsi"/>
                <w:color w:val="000000"/>
                <w:sz w:val="18"/>
                <w:szCs w:val="18"/>
                <w:lang w:val="ro-MD" w:eastAsia="en-US"/>
                <w14:ligatures w14:val="standardContextual"/>
              </w:rPr>
              <w:t>5</w:t>
            </w:r>
            <w:r w:rsidR="00A60231" w:rsidRPr="008070DB">
              <w:rPr>
                <w:rFonts w:eastAsiaTheme="minorHAnsi"/>
                <w:color w:val="000000"/>
                <w:sz w:val="18"/>
                <w:szCs w:val="18"/>
                <w:lang w:val="ro-MD" w:eastAsia="en-US"/>
                <w14:ligatures w14:val="standardContextual"/>
              </w:rPr>
              <w:t>9</w:t>
            </w:r>
            <w:r w:rsidR="004832AC" w:rsidRPr="008070DB">
              <w:rPr>
                <w:rFonts w:eastAsiaTheme="minorHAnsi"/>
                <w:color w:val="000000"/>
                <w:sz w:val="18"/>
                <w:szCs w:val="18"/>
                <w:lang w:val="ro-MD" w:eastAsia="en-US"/>
                <w14:ligatures w14:val="standardContextual"/>
              </w:rPr>
              <w:t xml:space="preserve">.3. </w:t>
            </w:r>
            <w:r w:rsidRPr="008070DB">
              <w:rPr>
                <w:rFonts w:eastAsiaTheme="minorHAnsi"/>
                <w:color w:val="000000"/>
                <w:sz w:val="18"/>
                <w:szCs w:val="18"/>
                <w:lang w:val="ro-MD" w:eastAsia="en-US"/>
                <w14:ligatures w14:val="standardContextual"/>
              </w:rPr>
              <w:t xml:space="preserve">și punctele </w:t>
            </w:r>
            <w:r w:rsidR="00C76A7C" w:rsidRPr="008070DB">
              <w:rPr>
                <w:rFonts w:eastAsiaTheme="minorHAnsi"/>
                <w:color w:val="000000"/>
                <w:sz w:val="18"/>
                <w:szCs w:val="18"/>
                <w:lang w:val="ro-MD" w:eastAsia="en-US"/>
                <w14:ligatures w14:val="standardContextual"/>
              </w:rPr>
              <w:t>6</w:t>
            </w:r>
            <w:r w:rsidR="00A60231" w:rsidRPr="008070DB">
              <w:rPr>
                <w:rFonts w:eastAsiaTheme="minorHAnsi"/>
                <w:color w:val="000000"/>
                <w:sz w:val="18"/>
                <w:szCs w:val="18"/>
                <w:lang w:val="ro-MD" w:eastAsia="en-US"/>
                <w14:ligatures w14:val="standardContextual"/>
              </w:rPr>
              <w:t>1</w:t>
            </w:r>
            <w:r w:rsidRPr="008070DB">
              <w:rPr>
                <w:rFonts w:eastAsiaTheme="minorHAnsi"/>
                <w:color w:val="000000"/>
                <w:sz w:val="18"/>
                <w:szCs w:val="18"/>
                <w:lang w:val="ro-MD" w:eastAsia="en-US"/>
                <w14:ligatures w14:val="standardContextual"/>
              </w:rPr>
              <w:t>-</w:t>
            </w:r>
            <w:r w:rsidR="00C76A7C" w:rsidRPr="008070DB">
              <w:rPr>
                <w:rFonts w:eastAsiaTheme="minorHAnsi"/>
                <w:color w:val="000000"/>
                <w:sz w:val="18"/>
                <w:szCs w:val="18"/>
                <w:lang w:val="ro-MD" w:eastAsia="en-US"/>
                <w14:ligatures w14:val="standardContextual"/>
              </w:rPr>
              <w:t>6</w:t>
            </w:r>
            <w:r w:rsidR="00A60231" w:rsidRPr="008070DB">
              <w:rPr>
                <w:rFonts w:eastAsiaTheme="minorHAnsi"/>
                <w:color w:val="000000"/>
                <w:sz w:val="18"/>
                <w:szCs w:val="18"/>
                <w:lang w:val="ro-MD" w:eastAsia="en-US"/>
                <w14:ligatures w14:val="standardContextual"/>
              </w:rPr>
              <w:t>4</w:t>
            </w:r>
            <w:r w:rsidRPr="008070DB">
              <w:rPr>
                <w:rFonts w:eastAsiaTheme="minorHAnsi"/>
                <w:color w:val="000000"/>
                <w:sz w:val="18"/>
                <w:szCs w:val="18"/>
                <w:lang w:val="ro-MD" w:eastAsia="en-US"/>
                <w14:ligatures w14:val="standardContextual"/>
              </w:rPr>
              <w:t xml:space="preserve"> pentru setul de compensare; și </w:t>
            </w:r>
          </w:p>
          <w:p w14:paraId="2A87BFCB" w14:textId="2769C2D2"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noProof/>
                <w:color w:val="000000"/>
                <w:sz w:val="18"/>
                <w:szCs w:val="18"/>
                <w:lang w:val="ro-MD" w:eastAsia="en-US"/>
                <w14:ligatures w14:val="standardContextual"/>
              </w:rPr>
              <w:drawing>
                <wp:inline distT="0" distB="0" distL="0" distR="0" wp14:anchorId="55F1259B" wp14:editId="1F3C9C74">
                  <wp:extent cx="690113" cy="216041"/>
                  <wp:effectExtent l="0" t="0" r="0" b="0"/>
                  <wp:docPr id="589740026"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18897" cy="225052"/>
                          </a:xfrm>
                          <a:prstGeom prst="rect">
                            <a:avLst/>
                          </a:prstGeom>
                          <a:noFill/>
                          <a:ln>
                            <a:noFill/>
                          </a:ln>
                        </pic:spPr>
                      </pic:pic>
                    </a:graphicData>
                  </a:graphic>
                </wp:inline>
              </w:drawing>
            </w:r>
            <w:r w:rsidRPr="008070DB">
              <w:rPr>
                <w:rFonts w:eastAsiaTheme="minorHAnsi"/>
                <w:color w:val="000000"/>
                <w:sz w:val="18"/>
                <w:szCs w:val="18"/>
                <w:lang w:val="ro-MD" w:eastAsia="en-US"/>
                <w14:ligatures w14:val="standardContextual"/>
              </w:rPr>
              <w:t xml:space="preserve">  = majorarea aferentă categoriei de risc de credit pentru setul de acoperire a riscului j calculat în conformitate cu punctul </w:t>
            </w:r>
            <w:r w:rsidR="00C76A7C" w:rsidRPr="008070DB">
              <w:rPr>
                <w:rFonts w:eastAsiaTheme="minorHAnsi"/>
                <w:color w:val="000000"/>
                <w:sz w:val="18"/>
                <w:szCs w:val="18"/>
                <w:lang w:val="ro-MD" w:eastAsia="en-US"/>
                <w14:ligatures w14:val="standardContextual"/>
              </w:rPr>
              <w:t>8</w:t>
            </w:r>
            <w:r w:rsidR="00A60231" w:rsidRPr="008070DB">
              <w:rPr>
                <w:rFonts w:eastAsiaTheme="minorHAnsi"/>
                <w:color w:val="000000"/>
                <w:sz w:val="18"/>
                <w:szCs w:val="18"/>
                <w:lang w:val="ro-MD" w:eastAsia="en-US"/>
                <w14:ligatures w14:val="standardContextual"/>
              </w:rPr>
              <w:t>5</w:t>
            </w:r>
            <w:r w:rsidRPr="008070DB">
              <w:rPr>
                <w:rFonts w:eastAsiaTheme="minorHAnsi"/>
                <w:color w:val="000000"/>
                <w:sz w:val="18"/>
                <w:szCs w:val="18"/>
                <w:lang w:val="ro-MD" w:eastAsia="en-US"/>
                <w14:ligatures w14:val="standardContextual"/>
              </w:rPr>
              <w:t xml:space="preserve">. </w:t>
            </w:r>
          </w:p>
          <w:p w14:paraId="34D59913" w14:textId="4FFA3DEC" w:rsidR="001A4DE8" w:rsidRPr="008070DB" w:rsidRDefault="00C76A7C"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8</w:t>
            </w:r>
            <w:r w:rsidR="00A60231" w:rsidRPr="008070DB">
              <w:rPr>
                <w:rFonts w:eastAsiaTheme="minorHAnsi"/>
                <w:b/>
                <w:bCs/>
                <w:color w:val="000000"/>
                <w:sz w:val="18"/>
                <w:szCs w:val="18"/>
                <w:lang w:val="ro-MD" w:eastAsia="en-US"/>
                <w14:ligatures w14:val="standardContextual"/>
              </w:rPr>
              <w:t>5</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majorarea aferentă categoriei de risc de credit pentru setul de acoperire a riscului j după cum urmează: </w:t>
            </w:r>
          </w:p>
          <w:p w14:paraId="015E4EF0"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34ACC41" wp14:editId="178AC9B5">
                  <wp:extent cx="2902226" cy="313284"/>
                  <wp:effectExtent l="0" t="0" r="0" b="0"/>
                  <wp:docPr id="801371465" name="Picture 80137146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992485" cy="323027"/>
                          </a:xfrm>
                          <a:prstGeom prst="rect">
                            <a:avLst/>
                          </a:prstGeom>
                          <a:noFill/>
                          <a:ln>
                            <a:noFill/>
                          </a:ln>
                        </pic:spPr>
                      </pic:pic>
                    </a:graphicData>
                  </a:graphic>
                </wp:inline>
              </w:drawing>
            </w:r>
          </w:p>
          <w:p w14:paraId="1A070948"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lastRenderedPageBreak/>
              <w:t xml:space="preserve">unde: </w:t>
            </w:r>
          </w:p>
          <w:p w14:paraId="1AFBDC90"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4268F467" wp14:editId="4F74F07A">
                  <wp:extent cx="759124" cy="237645"/>
                  <wp:effectExtent l="0" t="0" r="3175" b="0"/>
                  <wp:docPr id="569327356" name="Picture 5693273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72955" cy="241975"/>
                          </a:xfrm>
                          <a:prstGeom prst="rect">
                            <a:avLst/>
                          </a:prstGeom>
                          <a:noFill/>
                          <a:ln>
                            <a:noFill/>
                          </a:ln>
                        </pic:spPr>
                      </pic:pic>
                    </a:graphicData>
                  </a:graphic>
                </wp:inline>
              </w:drawing>
            </w:r>
            <w:r w:rsidRPr="008070DB">
              <w:rPr>
                <w:rFonts w:ascii="Times New Roman" w:hAnsi="Times New Roman" w:cs="Times New Roman"/>
                <w:sz w:val="18"/>
                <w:szCs w:val="18"/>
              </w:rPr>
              <w:t xml:space="preserve">  = majorarea aferentă categoriei de risc de credit pentru setul de acoperire a riscului </w:t>
            </w:r>
            <w:proofErr w:type="gramStart"/>
            <w:r w:rsidRPr="008070DB">
              <w:rPr>
                <w:rFonts w:ascii="Times New Roman" w:hAnsi="Times New Roman" w:cs="Times New Roman"/>
                <w:sz w:val="18"/>
                <w:szCs w:val="18"/>
              </w:rPr>
              <w:t>j;</w:t>
            </w:r>
            <w:proofErr w:type="gramEnd"/>
            <w:r w:rsidRPr="008070DB">
              <w:rPr>
                <w:rFonts w:ascii="Times New Roman" w:hAnsi="Times New Roman" w:cs="Times New Roman"/>
                <w:sz w:val="18"/>
                <w:szCs w:val="18"/>
              </w:rPr>
              <w:t xml:space="preserve"> </w:t>
            </w:r>
          </w:p>
          <w:p w14:paraId="4B493147" w14:textId="320BB0CC"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єj = coeficientul factorului </w:t>
            </w:r>
            <w:r w:rsidR="00C05B83" w:rsidRPr="008070DB">
              <w:rPr>
                <w:rFonts w:ascii="Times New Roman" w:hAnsi="Times New Roman" w:cs="Times New Roman"/>
                <w:sz w:val="18"/>
                <w:szCs w:val="18"/>
              </w:rPr>
              <w:t>stabilit</w:t>
            </w:r>
            <w:r w:rsidRPr="008070DB">
              <w:rPr>
                <w:rFonts w:ascii="Times New Roman" w:hAnsi="Times New Roman" w:cs="Times New Roman"/>
                <w:sz w:val="18"/>
                <w:szCs w:val="18"/>
              </w:rPr>
              <w:t xml:space="preserve"> de Banca Națională a Moldovei aferent setului de acoperire a riscului pentru setul de acoperire a riscului j determinat în conformitate cu punctul </w:t>
            </w:r>
            <w:proofErr w:type="gramStart"/>
            <w:r w:rsidR="00C76A7C" w:rsidRPr="008070DB">
              <w:rPr>
                <w:rFonts w:ascii="Times New Roman" w:hAnsi="Times New Roman" w:cs="Times New Roman"/>
                <w:sz w:val="18"/>
                <w:szCs w:val="18"/>
              </w:rPr>
              <w:t>7</w:t>
            </w:r>
            <w:r w:rsidR="00A60231" w:rsidRPr="008070DB">
              <w:rPr>
                <w:rFonts w:ascii="Times New Roman" w:hAnsi="Times New Roman" w:cs="Times New Roman"/>
                <w:sz w:val="18"/>
                <w:szCs w:val="18"/>
              </w:rPr>
              <w:t>7</w:t>
            </w:r>
            <w:r w:rsidRPr="008070DB">
              <w:rPr>
                <w:rFonts w:ascii="Times New Roman" w:hAnsi="Times New Roman" w:cs="Times New Roman"/>
                <w:sz w:val="18"/>
                <w:szCs w:val="18"/>
              </w:rPr>
              <w:t>;</w:t>
            </w:r>
            <w:proofErr w:type="gramEnd"/>
            <w:r w:rsidRPr="008070DB">
              <w:rPr>
                <w:rFonts w:ascii="Times New Roman" w:hAnsi="Times New Roman" w:cs="Times New Roman"/>
                <w:sz w:val="18"/>
                <w:szCs w:val="18"/>
              </w:rPr>
              <w:t xml:space="preserve"> </w:t>
            </w:r>
          </w:p>
          <w:p w14:paraId="51F45263" w14:textId="289D0373"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k = indicele care desemnează entităţile de referinţă privind creditul ale setului de compensare stabilit în conformitate cu punctul </w:t>
            </w:r>
            <w:proofErr w:type="gramStart"/>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Pr="008070DB">
              <w:rPr>
                <w:rFonts w:ascii="Times New Roman" w:hAnsi="Times New Roman" w:cs="Times New Roman"/>
                <w:sz w:val="18"/>
                <w:szCs w:val="18"/>
              </w:rPr>
              <w:t>;</w:t>
            </w:r>
            <w:proofErr w:type="gramEnd"/>
            <w:r w:rsidRPr="008070DB">
              <w:rPr>
                <w:rFonts w:ascii="Times New Roman" w:hAnsi="Times New Roman" w:cs="Times New Roman"/>
                <w:sz w:val="18"/>
                <w:szCs w:val="18"/>
              </w:rPr>
              <w:t xml:space="preserve"> </w:t>
            </w:r>
          </w:p>
          <w:p w14:paraId="25097D2D" w14:textId="3A6EE0A2"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543A6916" wp14:editId="5FDE58FE">
                  <wp:extent cx="517585" cy="283608"/>
                  <wp:effectExtent l="0" t="0" r="0" b="2540"/>
                  <wp:docPr id="284008201" name="Picture 284008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31977" cy="291494"/>
                          </a:xfrm>
                          <a:prstGeom prst="rect">
                            <a:avLst/>
                          </a:prstGeom>
                          <a:noFill/>
                        </pic:spPr>
                      </pic:pic>
                    </a:graphicData>
                  </a:graphic>
                </wp:inline>
              </w:drawing>
            </w:r>
            <w:r w:rsidRPr="008070DB">
              <w:rPr>
                <w:rFonts w:ascii="Times New Roman" w:hAnsi="Times New Roman" w:cs="Times New Roman"/>
                <w:sz w:val="18"/>
                <w:szCs w:val="18"/>
              </w:rPr>
              <w:t xml:space="preserve">= factorul de corelare al entităţii de referinţă privind creditul „k”; atunci când entitatea de referinţă privind creditul „k” s-a stabilit în conformitate cu punctul </w:t>
            </w:r>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008A6F6C" w:rsidRPr="008070DB">
              <w:rPr>
                <w:rFonts w:ascii="Times New Roman" w:hAnsi="Times New Roman" w:cs="Times New Roman"/>
                <w:sz w:val="18"/>
                <w:szCs w:val="18"/>
              </w:rPr>
              <w:t xml:space="preserve"> subpunctul </w:t>
            </w:r>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004832AC" w:rsidRPr="008070DB">
              <w:rPr>
                <w:rFonts w:ascii="Times New Roman" w:hAnsi="Times New Roman" w:cs="Times New Roman"/>
                <w:sz w:val="18"/>
                <w:szCs w:val="18"/>
              </w:rPr>
              <w:t>.</w:t>
            </w:r>
            <w:r w:rsidRPr="008070DB">
              <w:rPr>
                <w:rFonts w:ascii="Times New Roman" w:hAnsi="Times New Roman" w:cs="Times New Roman"/>
                <w:sz w:val="18"/>
                <w:szCs w:val="18"/>
              </w:rPr>
              <w:t>1</w:t>
            </w:r>
            <w:r w:rsidR="004832AC" w:rsidRPr="008070DB">
              <w:rPr>
                <w:rFonts w:ascii="Times New Roman" w:hAnsi="Times New Roman" w:cs="Times New Roman"/>
                <w:sz w:val="18"/>
                <w:szCs w:val="18"/>
              </w:rPr>
              <w:t>.</w:t>
            </w:r>
            <w:r w:rsidRPr="008070DB">
              <w:rPr>
                <w:rFonts w:ascii="Times New Roman" w:hAnsi="Times New Roman" w:cs="Times New Roman"/>
                <w:sz w:val="18"/>
                <w:szCs w:val="18"/>
              </w:rPr>
              <w:t>,</w:t>
            </w:r>
          </w:p>
          <w:p w14:paraId="7813FFA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p>
          <w:p w14:paraId="3244E2B2"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008E69B" wp14:editId="2083BC73">
                  <wp:extent cx="1022878" cy="267419"/>
                  <wp:effectExtent l="0" t="0" r="6350" b="0"/>
                  <wp:docPr id="1665824666" name="Picture 16658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042611" cy="272578"/>
                          </a:xfrm>
                          <a:prstGeom prst="rect">
                            <a:avLst/>
                          </a:prstGeom>
                          <a:noFill/>
                        </pic:spPr>
                      </pic:pic>
                    </a:graphicData>
                  </a:graphic>
                </wp:inline>
              </w:drawing>
            </w:r>
          </w:p>
          <w:p w14:paraId="17B9A5E7" w14:textId="4AAC76F3"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atunci când entitatea de referinţă privind creditul „k” s-a stabilit în conformitate cu punctul </w:t>
            </w:r>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00CC3AD8" w:rsidRPr="008070DB">
              <w:rPr>
                <w:rFonts w:ascii="Times New Roman" w:hAnsi="Times New Roman" w:cs="Times New Roman"/>
                <w:sz w:val="18"/>
                <w:szCs w:val="18"/>
              </w:rPr>
              <w:t xml:space="preserve"> subpunctul </w:t>
            </w:r>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3</w:t>
            </w:r>
            <w:r w:rsidR="004832AC" w:rsidRPr="008070DB">
              <w:rPr>
                <w:rFonts w:ascii="Times New Roman" w:hAnsi="Times New Roman" w:cs="Times New Roman"/>
                <w:sz w:val="18"/>
                <w:szCs w:val="18"/>
              </w:rPr>
              <w:t>.</w:t>
            </w:r>
            <w:r w:rsidRPr="008070DB">
              <w:rPr>
                <w:rFonts w:ascii="Times New Roman" w:hAnsi="Times New Roman" w:cs="Times New Roman"/>
                <w:sz w:val="18"/>
                <w:szCs w:val="18"/>
              </w:rPr>
              <w:t>2</w:t>
            </w:r>
            <w:r w:rsidR="004832AC" w:rsidRPr="008070DB">
              <w:rPr>
                <w:rFonts w:ascii="Times New Roman" w:hAnsi="Times New Roman" w:cs="Times New Roman"/>
                <w:sz w:val="18"/>
                <w:szCs w:val="18"/>
              </w:rPr>
              <w:t>.</w:t>
            </w:r>
            <w:r w:rsidRPr="008070DB">
              <w:rPr>
                <w:rFonts w:ascii="Times New Roman" w:hAnsi="Times New Roman" w:cs="Times New Roman"/>
                <w:sz w:val="18"/>
                <w:szCs w:val="18"/>
              </w:rPr>
              <w:t>,</w:t>
            </w:r>
          </w:p>
          <w:p w14:paraId="481E3D3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8E1503B" wp14:editId="76CFDA12">
                  <wp:extent cx="1012190" cy="262255"/>
                  <wp:effectExtent l="0" t="0" r="0" b="4445"/>
                  <wp:docPr id="82660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12190" cy="262255"/>
                          </a:xfrm>
                          <a:prstGeom prst="rect">
                            <a:avLst/>
                          </a:prstGeom>
                          <a:noFill/>
                        </pic:spPr>
                      </pic:pic>
                    </a:graphicData>
                  </a:graphic>
                </wp:inline>
              </w:drawing>
            </w:r>
          </w:p>
          <w:p w14:paraId="4B1F974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p>
          <w:p w14:paraId="15FBB4B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și </w:t>
            </w:r>
          </w:p>
          <w:p w14:paraId="7450D194" w14:textId="3517F33B" w:rsidR="001A4DE8" w:rsidRPr="008070DB" w:rsidRDefault="001A4DE8" w:rsidP="003456B0">
            <w:pPr>
              <w:pStyle w:val="Default"/>
              <w:jc w:val="both"/>
              <w:rPr>
                <w:rFonts w:ascii="Times New Roman" w:hAnsi="Times New Roman" w:cs="Times New Roman"/>
                <w:sz w:val="18"/>
                <w:szCs w:val="18"/>
              </w:rPr>
            </w:pPr>
            <w:proofErr w:type="gramStart"/>
            <w:r w:rsidRPr="008070DB">
              <w:rPr>
                <w:rFonts w:ascii="Times New Roman" w:hAnsi="Times New Roman" w:cs="Times New Roman"/>
                <w:sz w:val="18"/>
                <w:szCs w:val="18"/>
              </w:rPr>
              <w:t>AddOn(</w:t>
            </w:r>
            <w:proofErr w:type="gramEnd"/>
            <w:r w:rsidRPr="008070DB">
              <w:rPr>
                <w:rFonts w:ascii="Times New Roman" w:hAnsi="Times New Roman" w:cs="Times New Roman"/>
                <w:sz w:val="18"/>
                <w:szCs w:val="18"/>
              </w:rPr>
              <w:t xml:space="preserve">Entitatek) = majorarea pentru entitatea de referinţă privind creditul k determinată în conformitate cu punctul </w:t>
            </w:r>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6</w:t>
            </w:r>
            <w:r w:rsidRPr="008070DB">
              <w:rPr>
                <w:rFonts w:ascii="Times New Roman" w:hAnsi="Times New Roman" w:cs="Times New Roman"/>
                <w:sz w:val="18"/>
                <w:szCs w:val="18"/>
              </w:rPr>
              <w:t xml:space="preserve">. </w:t>
            </w:r>
          </w:p>
          <w:p w14:paraId="5B8519B1" w14:textId="5595E58C"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8</w:t>
            </w:r>
            <w:r w:rsidR="00A60231" w:rsidRPr="008070DB">
              <w:rPr>
                <w:rFonts w:ascii="Times New Roman" w:hAnsi="Times New Roman" w:cs="Times New Roman"/>
                <w:b/>
                <w:bCs/>
                <w:sz w:val="18"/>
                <w:szCs w:val="18"/>
              </w:rPr>
              <w:t>6</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Băncile calculează majorarea pentru entitatea de referinţă privind creditul k după cum urmează: </w:t>
            </w:r>
          </w:p>
          <w:p w14:paraId="1C37901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1EEDE172" wp14:editId="26EEA476">
                  <wp:extent cx="2458528" cy="271622"/>
                  <wp:effectExtent l="0" t="0" r="0" b="0"/>
                  <wp:docPr id="523715048" name="Picture 523715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02622" cy="276494"/>
                          </a:xfrm>
                          <a:prstGeom prst="rect">
                            <a:avLst/>
                          </a:prstGeom>
                          <a:noFill/>
                        </pic:spPr>
                      </pic:pic>
                    </a:graphicData>
                  </a:graphic>
                </wp:inline>
              </w:drawing>
            </w:r>
          </w:p>
          <w:p w14:paraId="1AA08932"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1BBC02C8"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C2818BD" wp14:editId="1949C448">
                  <wp:extent cx="672860" cy="200317"/>
                  <wp:effectExtent l="0" t="0" r="0" b="9525"/>
                  <wp:docPr id="737586976" name="Picture 737586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81320" cy="202836"/>
                          </a:xfrm>
                          <a:prstGeom prst="rect">
                            <a:avLst/>
                          </a:prstGeom>
                          <a:noFill/>
                        </pic:spPr>
                      </pic:pic>
                    </a:graphicData>
                  </a:graphic>
                </wp:inline>
              </w:drawing>
            </w:r>
            <w:r w:rsidRPr="008070DB">
              <w:rPr>
                <w:rFonts w:ascii="Times New Roman" w:hAnsi="Times New Roman" w:cs="Times New Roman"/>
                <w:sz w:val="18"/>
                <w:szCs w:val="18"/>
              </w:rPr>
              <w:t xml:space="preserve">= valoarea noţională efectivă </w:t>
            </w:r>
            <w:proofErr w:type="gramStart"/>
            <w:r w:rsidRPr="008070DB">
              <w:rPr>
                <w:rFonts w:ascii="Times New Roman" w:hAnsi="Times New Roman" w:cs="Times New Roman"/>
                <w:sz w:val="18"/>
                <w:szCs w:val="18"/>
              </w:rPr>
              <w:t>a</w:t>
            </w:r>
            <w:proofErr w:type="gramEnd"/>
            <w:r w:rsidRPr="008070DB">
              <w:rPr>
                <w:rFonts w:ascii="Times New Roman" w:hAnsi="Times New Roman" w:cs="Times New Roman"/>
                <w:sz w:val="18"/>
                <w:szCs w:val="18"/>
              </w:rPr>
              <w:t xml:space="preserve"> entităţii de referinţă privind creditul k, calculată după cum urmează: </w:t>
            </w:r>
          </w:p>
          <w:p w14:paraId="16C36E4D"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r w:rsidRPr="008070DB">
              <w:rPr>
                <w:rFonts w:ascii="Times New Roman" w:hAnsi="Times New Roman" w:cs="Times New Roman"/>
                <w:noProof/>
                <w:sz w:val="18"/>
                <w:szCs w:val="18"/>
              </w:rPr>
              <w:drawing>
                <wp:inline distT="0" distB="0" distL="0" distR="0" wp14:anchorId="3DFBCBC8" wp14:editId="7FC59863">
                  <wp:extent cx="2416569" cy="219075"/>
                  <wp:effectExtent l="0" t="0" r="3175" b="0"/>
                  <wp:docPr id="1274003857" name="Picture 1274003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508438" cy="227403"/>
                          </a:xfrm>
                          <a:prstGeom prst="rect">
                            <a:avLst/>
                          </a:prstGeom>
                          <a:noFill/>
                        </pic:spPr>
                      </pic:pic>
                    </a:graphicData>
                  </a:graphic>
                </wp:inline>
              </w:drawing>
            </w:r>
          </w:p>
          <w:p w14:paraId="626B49ED"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48FFEDA7"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l = indicele care desemnează poziţia de risc (RiskPosition); și </w:t>
            </w:r>
          </w:p>
          <w:p w14:paraId="1D4CF05E" w14:textId="37B64725"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lastRenderedPageBreak/>
              <w:drawing>
                <wp:inline distT="0" distB="0" distL="0" distR="0" wp14:anchorId="5A73FAE9" wp14:editId="2E6D9AAE">
                  <wp:extent cx="534838" cy="258405"/>
                  <wp:effectExtent l="0" t="0" r="0" b="8890"/>
                  <wp:docPr id="1589756875" name="Picture 158975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3097" cy="262395"/>
                          </a:xfrm>
                          <a:prstGeom prst="rect">
                            <a:avLst/>
                          </a:prstGeom>
                          <a:noFill/>
                        </pic:spPr>
                      </pic:pic>
                    </a:graphicData>
                  </a:graphic>
                </wp:inline>
              </w:drawing>
            </w:r>
            <w:r w:rsidRPr="008070DB">
              <w:rPr>
                <w:rFonts w:ascii="Times New Roman" w:hAnsi="Times New Roman" w:cs="Times New Roman"/>
                <w:sz w:val="18"/>
                <w:szCs w:val="18"/>
              </w:rPr>
              <w:t xml:space="preserve">= factorul </w:t>
            </w:r>
            <w:r w:rsidR="00C05B83" w:rsidRPr="008070DB">
              <w:rPr>
                <w:rFonts w:ascii="Times New Roman" w:hAnsi="Times New Roman" w:cs="Times New Roman"/>
                <w:sz w:val="18"/>
                <w:szCs w:val="18"/>
              </w:rPr>
              <w:t>stabilit</w:t>
            </w:r>
            <w:r w:rsidRPr="008070DB">
              <w:rPr>
                <w:rFonts w:ascii="Times New Roman" w:hAnsi="Times New Roman" w:cs="Times New Roman"/>
                <w:sz w:val="18"/>
                <w:szCs w:val="18"/>
              </w:rPr>
              <w:t xml:space="preserve"> de Banca Națională a Moldovei aplicabil entităţii de referinţă privind creditul k calculat în conformitate cu punctul </w:t>
            </w:r>
            <w:r w:rsidR="00C76A7C" w:rsidRPr="008070DB">
              <w:rPr>
                <w:rFonts w:ascii="Times New Roman" w:hAnsi="Times New Roman" w:cs="Times New Roman"/>
                <w:sz w:val="18"/>
                <w:szCs w:val="18"/>
              </w:rPr>
              <w:t>8</w:t>
            </w:r>
            <w:r w:rsidR="00A60231" w:rsidRPr="008070DB">
              <w:rPr>
                <w:rFonts w:ascii="Times New Roman" w:hAnsi="Times New Roman" w:cs="Times New Roman"/>
                <w:sz w:val="18"/>
                <w:szCs w:val="18"/>
              </w:rPr>
              <w:t>7</w:t>
            </w:r>
            <w:r w:rsidRPr="008070DB">
              <w:rPr>
                <w:rFonts w:ascii="Times New Roman" w:hAnsi="Times New Roman" w:cs="Times New Roman"/>
                <w:sz w:val="18"/>
                <w:szCs w:val="18"/>
              </w:rPr>
              <w:t>.</w:t>
            </w:r>
          </w:p>
          <w:p w14:paraId="2BAE11AD" w14:textId="7164B8D5" w:rsidR="001A4DE8" w:rsidRPr="008070DB" w:rsidRDefault="00C76A7C"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8</w:t>
            </w:r>
            <w:r w:rsidR="00A60231" w:rsidRPr="008070DB">
              <w:rPr>
                <w:rFonts w:eastAsiaTheme="minorHAnsi"/>
                <w:b/>
                <w:bCs/>
                <w:color w:val="000000"/>
                <w:sz w:val="18"/>
                <w:szCs w:val="18"/>
                <w:lang w:val="ro-MD" w:eastAsia="en-US"/>
                <w14:ligatures w14:val="standardContextual"/>
              </w:rPr>
              <w:t>7</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factorul </w:t>
            </w:r>
            <w:r w:rsidR="00C05B83" w:rsidRPr="008070DB">
              <w:rPr>
                <w:rFonts w:eastAsiaTheme="minorHAnsi"/>
                <w:color w:val="000000"/>
                <w:sz w:val="18"/>
                <w:szCs w:val="18"/>
                <w:lang w:val="ro-MD" w:eastAsia="en-US"/>
                <w14:ligatures w14:val="standardContextual"/>
              </w:rPr>
              <w:t>stabilit</w:t>
            </w:r>
            <w:r w:rsidR="001A4DE8" w:rsidRPr="008070DB">
              <w:rPr>
                <w:rFonts w:eastAsiaTheme="minorHAnsi"/>
                <w:color w:val="000000"/>
                <w:sz w:val="18"/>
                <w:szCs w:val="18"/>
                <w:lang w:val="ro-MD" w:eastAsia="en-US"/>
                <w14:ligatures w14:val="standardContextual"/>
              </w:rPr>
              <w:t xml:space="preserve"> de Banca Națională a Moldovei aplicabil entităţii de referinţă privind creditul k după cum urmează: </w:t>
            </w:r>
          </w:p>
          <w:p w14:paraId="4FE8F748" w14:textId="2E04E237" w:rsidR="001A4DE8" w:rsidRPr="008070DB" w:rsidRDefault="00C76A7C"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8</w:t>
            </w:r>
            <w:r w:rsidR="00A60231" w:rsidRPr="008070DB">
              <w:rPr>
                <w:rFonts w:eastAsiaTheme="minorHAnsi"/>
                <w:color w:val="000000"/>
                <w:sz w:val="18"/>
                <w:szCs w:val="18"/>
                <w:lang w:val="ro-MD" w:eastAsia="en-US"/>
                <w14:ligatures w14:val="standardContextual"/>
              </w:rPr>
              <w:t>7</w:t>
            </w:r>
            <w:r w:rsidR="004832AC"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1</w:t>
            </w:r>
            <w:r w:rsidR="004832AC" w:rsidRPr="008070DB">
              <w:rPr>
                <w:rFonts w:eastAsiaTheme="minorHAnsi"/>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pentru entitatea de referinţă privind creditul k stabilită în conformitate cu punctul </w:t>
            </w:r>
            <w:r w:rsidR="00D20542" w:rsidRPr="008070DB">
              <w:rPr>
                <w:sz w:val="18"/>
                <w:szCs w:val="18"/>
                <w:lang w:val="en-US"/>
              </w:rPr>
              <w:t xml:space="preserve">punctul </w:t>
            </w:r>
            <w:r w:rsidRPr="008070DB">
              <w:rPr>
                <w:sz w:val="18"/>
                <w:szCs w:val="18"/>
                <w:lang w:val="en-US"/>
              </w:rPr>
              <w:t>8</w:t>
            </w:r>
            <w:r w:rsidR="00A60231" w:rsidRPr="008070DB">
              <w:rPr>
                <w:sz w:val="18"/>
                <w:szCs w:val="18"/>
                <w:lang w:val="en-US"/>
              </w:rPr>
              <w:t>3</w:t>
            </w:r>
            <w:r w:rsidR="00D20542" w:rsidRPr="008070DB">
              <w:rPr>
                <w:sz w:val="18"/>
                <w:szCs w:val="18"/>
                <w:lang w:val="en-US"/>
              </w:rPr>
              <w:t xml:space="preserve"> subpunctul </w:t>
            </w:r>
            <w:r w:rsidR="00D20542" w:rsidRPr="008070DB">
              <w:rPr>
                <w:sz w:val="18"/>
                <w:szCs w:val="18"/>
              </w:rPr>
              <w:fldChar w:fldCharType="begin"/>
            </w:r>
            <w:r w:rsidR="00D20542" w:rsidRPr="008070DB">
              <w:rPr>
                <w:sz w:val="18"/>
                <w:szCs w:val="18"/>
                <w:lang w:val="en-US"/>
              </w:rPr>
              <w:instrText xml:space="preserve"> REF _Ref168991778 \r \h  \* MERGEFORMAT </w:instrText>
            </w:r>
            <w:r w:rsidR="00D20542" w:rsidRPr="008070DB">
              <w:rPr>
                <w:sz w:val="18"/>
                <w:szCs w:val="18"/>
              </w:rPr>
            </w:r>
            <w:r w:rsidR="00D20542" w:rsidRPr="008070DB">
              <w:rPr>
                <w:sz w:val="18"/>
                <w:szCs w:val="18"/>
              </w:rPr>
              <w:fldChar w:fldCharType="separate"/>
            </w:r>
            <w:r w:rsidR="00974022" w:rsidRPr="008070DB">
              <w:rPr>
                <w:b/>
                <w:bCs/>
                <w:sz w:val="18"/>
                <w:szCs w:val="18"/>
                <w:lang w:val="en-US"/>
              </w:rPr>
              <w:t>Error! Reference source not found.</w:t>
            </w:r>
            <w:r w:rsidR="00D20542" w:rsidRPr="008070DB">
              <w:rPr>
                <w:sz w:val="18"/>
                <w:szCs w:val="18"/>
              </w:rPr>
              <w:fldChar w:fldCharType="end"/>
            </w:r>
            <w:r w:rsidR="00D20542" w:rsidRPr="008070DB">
              <w:rPr>
                <w:sz w:val="18"/>
                <w:szCs w:val="18"/>
                <w:lang w:val="en-US"/>
              </w:rPr>
              <w:t>.</w:t>
            </w:r>
            <w:r w:rsidR="001A4DE8" w:rsidRPr="008070DB">
              <w:rPr>
                <w:rFonts w:eastAsiaTheme="minorHAnsi"/>
                <w:color w:val="000000"/>
                <w:sz w:val="18"/>
                <w:szCs w:val="18"/>
                <w:lang w:val="ro-MD" w:eastAsia="en-US"/>
                <w14:ligatures w14:val="standardContextual"/>
              </w:rPr>
              <w:t>,</w:t>
            </w:r>
          </w:p>
          <w:p w14:paraId="37637267"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3DD3DD7A" wp14:editId="03E46A1D">
                  <wp:extent cx="551092" cy="264160"/>
                  <wp:effectExtent l="0" t="0" r="1905" b="2540"/>
                  <wp:docPr id="1737274156" name="Picture 17372741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267" cy="275748"/>
                          </a:xfrm>
                          <a:prstGeom prst="rect">
                            <a:avLst/>
                          </a:prstGeom>
                          <a:noFill/>
                          <a:ln>
                            <a:noFill/>
                          </a:ln>
                        </pic:spPr>
                      </pic:pic>
                    </a:graphicData>
                  </a:graphic>
                </wp:inline>
              </w:drawing>
            </w:r>
          </w:p>
          <w:p w14:paraId="7D28ACCF" w14:textId="77E02FDA"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este pus în corespondenţă cu unul dintre cei șase factori impuși de Banca Națională a Moldovei prevăzuţi în tabelul 3 pe baza unei evaluări externe a creditului efectuată de o ECAI desemnată a emitentului individual corespunzător.</w:t>
            </w:r>
          </w:p>
          <w:p w14:paraId="1C7A87C6" w14:textId="74E41FC4"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În cazul unui emitent individual pentru care nu este disponibilă o evaluare a creditului efectuată de o ECAI desemnată, bancă care utilizează abordarea standardizată conform prevederilor Regulamentului nr.111/2018 atribuie un </w:t>
            </w:r>
          </w:p>
          <w:p w14:paraId="23B7731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6CC79760" wp14:editId="40072A99">
                  <wp:extent cx="1190445" cy="273739"/>
                  <wp:effectExtent l="0" t="0" r="0" b="0"/>
                  <wp:docPr id="433522879" name="Picture 43352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205891" cy="277291"/>
                          </a:xfrm>
                          <a:prstGeom prst="rect">
                            <a:avLst/>
                          </a:prstGeom>
                          <a:noFill/>
                        </pic:spPr>
                      </pic:pic>
                    </a:graphicData>
                  </a:graphic>
                </wp:inline>
              </w:drawing>
            </w:r>
          </w:p>
          <w:p w14:paraId="4FC75A73" w14:textId="467DBC3F" w:rsidR="001A4DE8" w:rsidRPr="008070DB" w:rsidRDefault="001A4DE8" w:rsidP="003456B0">
            <w:pPr>
              <w:pStyle w:val="Default"/>
              <w:tabs>
                <w:tab w:val="left" w:pos="567"/>
              </w:tabs>
              <w:jc w:val="both"/>
              <w:rPr>
                <w:rFonts w:ascii="Times New Roman" w:hAnsi="Times New Roman" w:cs="Times New Roman"/>
                <w:sz w:val="18"/>
                <w:szCs w:val="18"/>
              </w:rPr>
            </w:pPr>
            <w:r w:rsidRPr="008070DB">
              <w:rPr>
                <w:rFonts w:ascii="Times New Roman" w:hAnsi="Times New Roman" w:cs="Times New Roman"/>
                <w:sz w:val="18"/>
                <w:szCs w:val="18"/>
              </w:rPr>
              <w:t xml:space="preserve">respectivei entităţi de referinţă privind creditul. Cu toate acestea, în cazul în care </w:t>
            </w:r>
            <w:r w:rsidR="00C05B83" w:rsidRPr="008070DB">
              <w:rPr>
                <w:rFonts w:ascii="Times New Roman" w:hAnsi="Times New Roman" w:cs="Times New Roman"/>
                <w:sz w:val="18"/>
                <w:szCs w:val="18"/>
              </w:rPr>
              <w:t>banca</w:t>
            </w:r>
            <w:r w:rsidRPr="008070DB">
              <w:rPr>
                <w:rFonts w:ascii="Times New Roman" w:hAnsi="Times New Roman" w:cs="Times New Roman"/>
                <w:sz w:val="18"/>
                <w:szCs w:val="18"/>
              </w:rPr>
              <w:t xml:space="preserve"> aplică </w:t>
            </w:r>
            <w:r w:rsidR="005442CA" w:rsidRPr="008070DB">
              <w:rPr>
                <w:rFonts w:ascii="Times New Roman" w:hAnsi="Times New Roman" w:cs="Times New Roman"/>
                <w:sz w:val="18"/>
                <w:szCs w:val="18"/>
              </w:rPr>
              <w:t>tratamentul riscului de credit aferent expunerii din datorii subordonate</w:t>
            </w:r>
            <w:r w:rsidRPr="008070DB">
              <w:rPr>
                <w:rFonts w:ascii="Times New Roman" w:hAnsi="Times New Roman" w:cs="Times New Roman"/>
                <w:sz w:val="18"/>
                <w:szCs w:val="18"/>
              </w:rPr>
              <w:t xml:space="preserve"> pentru a pondera la risc expunerile la riscul de credit al contrapărţii faţă de acest emitent individual, se atribuie un </w:t>
            </w:r>
            <w:r w:rsidRPr="008070DB">
              <w:rPr>
                <w:rFonts w:ascii="Times New Roman" w:hAnsi="Times New Roman" w:cs="Times New Roman"/>
                <w:noProof/>
                <w:sz w:val="18"/>
                <w:szCs w:val="18"/>
              </w:rPr>
              <w:drawing>
                <wp:inline distT="0" distB="0" distL="0" distR="0" wp14:anchorId="6DF9F8A2" wp14:editId="29C462E0">
                  <wp:extent cx="1095555" cy="269194"/>
                  <wp:effectExtent l="0" t="0" r="0" b="0"/>
                  <wp:docPr id="470475708" name="Picture 47047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3386" cy="280947"/>
                          </a:xfrm>
                          <a:prstGeom prst="rect">
                            <a:avLst/>
                          </a:prstGeom>
                          <a:noFill/>
                        </pic:spPr>
                      </pic:pic>
                    </a:graphicData>
                  </a:graphic>
                </wp:inline>
              </w:drawing>
            </w:r>
          </w:p>
          <w:p w14:paraId="2DE5DBD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respectivei entităţi de referinţă privind </w:t>
            </w:r>
            <w:proofErr w:type="gramStart"/>
            <w:r w:rsidRPr="008070DB">
              <w:rPr>
                <w:rFonts w:ascii="Times New Roman" w:hAnsi="Times New Roman" w:cs="Times New Roman"/>
                <w:sz w:val="18"/>
                <w:szCs w:val="18"/>
              </w:rPr>
              <w:t>creditul;</w:t>
            </w:r>
            <w:proofErr w:type="gramEnd"/>
            <w:r w:rsidRPr="008070DB">
              <w:rPr>
                <w:rFonts w:ascii="Times New Roman" w:hAnsi="Times New Roman" w:cs="Times New Roman"/>
                <w:sz w:val="18"/>
                <w:szCs w:val="18"/>
              </w:rPr>
              <w:t xml:space="preserve"> </w:t>
            </w:r>
          </w:p>
          <w:p w14:paraId="25E31CC9" w14:textId="77777777" w:rsidR="001A4DE8" w:rsidRPr="008070DB" w:rsidRDefault="001A4DE8" w:rsidP="003456B0">
            <w:pPr>
              <w:pStyle w:val="Default"/>
              <w:jc w:val="both"/>
              <w:rPr>
                <w:rFonts w:ascii="Times New Roman" w:hAnsi="Times New Roman" w:cs="Times New Roman"/>
                <w:sz w:val="18"/>
                <w:szCs w:val="18"/>
              </w:rPr>
            </w:pPr>
          </w:p>
          <w:p w14:paraId="15B213C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Tabelul 3</w:t>
            </w:r>
          </w:p>
          <w:tbl>
            <w:tblPr>
              <w:tblW w:w="3886"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133"/>
              <w:gridCol w:w="2753"/>
            </w:tblGrid>
            <w:tr w:rsidR="001A4DE8" w:rsidRPr="00EB7E01" w14:paraId="3A42509D" w14:textId="77777777" w:rsidTr="002321CD">
              <w:trPr>
                <w:trHeight w:val="339"/>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7177A48A" w14:textId="77777777" w:rsidR="001A4DE8" w:rsidRPr="008070DB" w:rsidRDefault="001A4DE8" w:rsidP="00EB7E01">
                  <w:pPr>
                    <w:framePr w:hSpace="180" w:wrap="around" w:vAnchor="text" w:hAnchor="text" w:y="1"/>
                    <w:spacing w:before="100" w:beforeAutospacing="1" w:after="100" w:afterAutospacing="1"/>
                    <w:suppressOverlap/>
                    <w:jc w:val="both"/>
                    <w:rPr>
                      <w:b/>
                      <w:bCs/>
                      <w:color w:val="333333"/>
                      <w:sz w:val="18"/>
                      <w:szCs w:val="18"/>
                      <w:lang w:val="en-US" w:eastAsia="ro-MD"/>
                    </w:rPr>
                  </w:pPr>
                  <w:r w:rsidRPr="008070DB">
                    <w:rPr>
                      <w:b/>
                      <w:bCs/>
                      <w:color w:val="333333"/>
                      <w:sz w:val="18"/>
                      <w:szCs w:val="18"/>
                      <w:lang w:val="en-US" w:eastAsia="ro-MD"/>
                    </w:rPr>
                    <w:t>Nivelul de calitate a creditului</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15F02EDB" w14:textId="21741B2F" w:rsidR="001A4DE8" w:rsidRPr="008070DB" w:rsidRDefault="001A4DE8" w:rsidP="00EB7E01">
                  <w:pPr>
                    <w:framePr w:hSpace="180" w:wrap="around" w:vAnchor="text" w:hAnchor="text" w:y="1"/>
                    <w:spacing w:before="100" w:beforeAutospacing="1" w:after="100" w:afterAutospacing="1"/>
                    <w:suppressOverlap/>
                    <w:jc w:val="both"/>
                    <w:rPr>
                      <w:b/>
                      <w:bCs/>
                      <w:color w:val="333333"/>
                      <w:sz w:val="18"/>
                      <w:szCs w:val="18"/>
                      <w:lang w:val="en-US" w:eastAsia="ro-MD"/>
                    </w:rPr>
                  </w:pPr>
                  <w:r w:rsidRPr="008070DB">
                    <w:rPr>
                      <w:b/>
                      <w:bCs/>
                      <w:color w:val="333333"/>
                      <w:sz w:val="18"/>
                      <w:szCs w:val="18"/>
                      <w:lang w:val="en-US" w:eastAsia="ro-MD"/>
                    </w:rPr>
                    <w:t xml:space="preserve">Factorul </w:t>
                  </w:r>
                  <w:r w:rsidR="00C05B83" w:rsidRPr="008070DB">
                    <w:rPr>
                      <w:b/>
                      <w:bCs/>
                      <w:color w:val="333333"/>
                      <w:sz w:val="18"/>
                      <w:szCs w:val="18"/>
                      <w:lang w:val="en-US" w:eastAsia="ro-MD"/>
                    </w:rPr>
                    <w:t>stabilit</w:t>
                  </w:r>
                  <w:r w:rsidRPr="008070DB">
                    <w:rPr>
                      <w:b/>
                      <w:bCs/>
                      <w:color w:val="333333"/>
                      <w:sz w:val="18"/>
                      <w:szCs w:val="18"/>
                      <w:lang w:val="en-US" w:eastAsia="ro-MD"/>
                    </w:rPr>
                    <w:t xml:space="preserve"> de </w:t>
                  </w:r>
                  <w:r w:rsidRPr="008070DB">
                    <w:rPr>
                      <w:b/>
                      <w:bCs/>
                      <w:sz w:val="18"/>
                      <w:szCs w:val="18"/>
                      <w:lang w:val="en-US"/>
                    </w:rPr>
                    <w:t>Banca</w:t>
                  </w:r>
                  <w:r w:rsidR="00A60231" w:rsidRPr="008070DB">
                    <w:rPr>
                      <w:b/>
                      <w:bCs/>
                      <w:sz w:val="18"/>
                      <w:szCs w:val="18"/>
                      <w:lang w:val="en-US"/>
                    </w:rPr>
                    <w:t xml:space="preserve"> </w:t>
                  </w:r>
                  <w:r w:rsidRPr="008070DB">
                    <w:rPr>
                      <w:b/>
                      <w:bCs/>
                      <w:sz w:val="18"/>
                      <w:szCs w:val="18"/>
                      <w:lang w:val="en-US"/>
                    </w:rPr>
                    <w:t>Națională a Moldovei</w:t>
                  </w:r>
                  <w:r w:rsidRPr="008070DB">
                    <w:rPr>
                      <w:b/>
                      <w:bCs/>
                      <w:color w:val="333333"/>
                      <w:sz w:val="18"/>
                      <w:szCs w:val="18"/>
                      <w:lang w:val="en-US" w:eastAsia="ro-MD"/>
                    </w:rPr>
                    <w:t xml:space="preserve"> pentru tranzacții având la bază o singură semnătură</w:t>
                  </w:r>
                </w:p>
              </w:tc>
            </w:tr>
            <w:tr w:rsidR="001A4DE8" w:rsidRPr="00EB7E01" w14:paraId="01DCA52D" w14:textId="77777777" w:rsidTr="002321CD">
              <w:trPr>
                <w:trHeight w:val="339"/>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1D1B74B3"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lastRenderedPageBreak/>
                    <w:t>1</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4158AC74"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0,38 %</w:t>
                  </w:r>
                </w:p>
              </w:tc>
            </w:tr>
            <w:tr w:rsidR="001A4DE8" w:rsidRPr="00EB7E01" w14:paraId="7B475F99" w14:textId="77777777" w:rsidTr="002321CD">
              <w:trPr>
                <w:trHeight w:val="327"/>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08B96A52"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2</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4C307D65"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0,42 %</w:t>
                  </w:r>
                </w:p>
              </w:tc>
            </w:tr>
            <w:tr w:rsidR="001A4DE8" w:rsidRPr="00EB7E01" w14:paraId="16AEA574" w14:textId="77777777" w:rsidTr="002321CD">
              <w:trPr>
                <w:trHeight w:val="339"/>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7C2B7248"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3</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29CC1E2E"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0,54 %</w:t>
                  </w:r>
                </w:p>
              </w:tc>
            </w:tr>
            <w:tr w:rsidR="001A4DE8" w:rsidRPr="00EB7E01" w14:paraId="1BEF5CCA" w14:textId="77777777" w:rsidTr="002321CD">
              <w:trPr>
                <w:trHeight w:val="339"/>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450E0558"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4</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45EFCF45"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1,06 %</w:t>
                  </w:r>
                </w:p>
              </w:tc>
            </w:tr>
            <w:tr w:rsidR="001A4DE8" w:rsidRPr="00EB7E01" w14:paraId="66CDABDE" w14:textId="77777777" w:rsidTr="002321CD">
              <w:trPr>
                <w:trHeight w:val="339"/>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48C7793D"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5</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2782FA6B"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1,6 %</w:t>
                  </w:r>
                </w:p>
              </w:tc>
            </w:tr>
            <w:tr w:rsidR="001A4DE8" w:rsidRPr="00EB7E01" w14:paraId="0234FB4F" w14:textId="77777777" w:rsidTr="002321CD">
              <w:trPr>
                <w:trHeight w:val="339"/>
              </w:trPr>
              <w:tc>
                <w:tcPr>
                  <w:tcW w:w="1133" w:type="dxa"/>
                  <w:tcBorders>
                    <w:top w:val="outset" w:sz="6" w:space="0" w:color="auto"/>
                    <w:left w:val="outset" w:sz="6" w:space="0" w:color="auto"/>
                    <w:bottom w:val="outset" w:sz="6" w:space="0" w:color="auto"/>
                    <w:right w:val="outset" w:sz="6" w:space="0" w:color="auto"/>
                  </w:tcBorders>
                  <w:shd w:val="clear" w:color="auto" w:fill="FFFFFF"/>
                  <w:hideMark/>
                </w:tcPr>
                <w:p w14:paraId="7B474B0C"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6</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7916FEAC" w14:textId="77777777" w:rsidR="001A4DE8" w:rsidRPr="008070DB" w:rsidRDefault="001A4DE8" w:rsidP="00EB7E01">
                  <w:pPr>
                    <w:framePr w:hSpace="180" w:wrap="around" w:vAnchor="text" w:hAnchor="text" w:y="1"/>
                    <w:spacing w:before="60" w:after="60" w:line="312" w:lineRule="atLeast"/>
                    <w:suppressOverlap/>
                    <w:jc w:val="both"/>
                    <w:rPr>
                      <w:color w:val="333333"/>
                      <w:sz w:val="18"/>
                      <w:szCs w:val="18"/>
                      <w:lang w:val="en-US" w:eastAsia="ro-MD"/>
                    </w:rPr>
                  </w:pPr>
                  <w:r w:rsidRPr="008070DB">
                    <w:rPr>
                      <w:color w:val="333333"/>
                      <w:sz w:val="18"/>
                      <w:szCs w:val="18"/>
                      <w:lang w:val="en-US" w:eastAsia="ro-MD"/>
                    </w:rPr>
                    <w:t>6,0 %</w:t>
                  </w:r>
                </w:p>
              </w:tc>
            </w:tr>
          </w:tbl>
          <w:p w14:paraId="27F3B1B0" w14:textId="77777777" w:rsidR="001A4DE8" w:rsidRPr="008070DB" w:rsidRDefault="001A4DE8" w:rsidP="003456B0">
            <w:pPr>
              <w:pStyle w:val="Default"/>
              <w:jc w:val="both"/>
              <w:rPr>
                <w:rFonts w:ascii="Times New Roman" w:hAnsi="Times New Roman" w:cs="Times New Roman"/>
                <w:sz w:val="18"/>
                <w:szCs w:val="18"/>
              </w:rPr>
            </w:pPr>
          </w:p>
          <w:p w14:paraId="662FE726" w14:textId="4B957F0F"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5D1F78" w:rsidRPr="008070DB">
              <w:rPr>
                <w:rFonts w:ascii="Times New Roman" w:hAnsi="Times New Roman" w:cs="Times New Roman"/>
                <w:sz w:val="18"/>
                <w:szCs w:val="18"/>
              </w:rPr>
              <w:t>7</w:t>
            </w:r>
            <w:r w:rsidR="004832AC" w:rsidRPr="008070DB">
              <w:rPr>
                <w:rFonts w:ascii="Times New Roman" w:hAnsi="Times New Roman" w:cs="Times New Roman"/>
                <w:sz w:val="18"/>
                <w:szCs w:val="18"/>
              </w:rPr>
              <w:t>.</w:t>
            </w:r>
            <w:r w:rsidR="001A4DE8" w:rsidRPr="008070DB">
              <w:rPr>
                <w:rFonts w:ascii="Times New Roman" w:hAnsi="Times New Roman" w:cs="Times New Roman"/>
                <w:sz w:val="18"/>
                <w:szCs w:val="18"/>
              </w:rPr>
              <w:t>2</w:t>
            </w:r>
            <w:r w:rsidR="004832AC" w:rsidRPr="008070DB">
              <w:rPr>
                <w:rFonts w:ascii="Times New Roman" w:hAnsi="Times New Roman" w:cs="Times New Roman"/>
                <w:sz w:val="18"/>
                <w:szCs w:val="18"/>
              </w:rPr>
              <w:t>.</w:t>
            </w:r>
            <w:r w:rsidR="001A4DE8" w:rsidRPr="008070DB">
              <w:rPr>
                <w:rFonts w:ascii="Times New Roman" w:hAnsi="Times New Roman" w:cs="Times New Roman"/>
                <w:sz w:val="18"/>
                <w:szCs w:val="18"/>
              </w:rPr>
              <w:t xml:space="preserve"> pentru entităţile de referinţă privind creditul k stabilite în conformitate cu punctul </w:t>
            </w:r>
            <w:r w:rsidRPr="008070DB">
              <w:rPr>
                <w:rFonts w:ascii="Times New Roman" w:hAnsi="Times New Roman" w:cs="Times New Roman"/>
                <w:sz w:val="18"/>
                <w:szCs w:val="18"/>
              </w:rPr>
              <w:t>8</w:t>
            </w:r>
            <w:r w:rsidR="005D1F78" w:rsidRPr="008070DB">
              <w:rPr>
                <w:rFonts w:ascii="Times New Roman" w:hAnsi="Times New Roman" w:cs="Times New Roman"/>
                <w:sz w:val="18"/>
                <w:szCs w:val="18"/>
              </w:rPr>
              <w:t>3</w:t>
            </w:r>
            <w:r w:rsidR="00D20542" w:rsidRPr="008070DB">
              <w:rPr>
                <w:rFonts w:ascii="Times New Roman" w:hAnsi="Times New Roman" w:cs="Times New Roman"/>
                <w:sz w:val="18"/>
                <w:szCs w:val="18"/>
              </w:rPr>
              <w:t xml:space="preserve"> subpunctul </w:t>
            </w:r>
            <w:r w:rsidRPr="008070DB">
              <w:rPr>
                <w:rFonts w:ascii="Times New Roman" w:hAnsi="Times New Roman" w:cs="Times New Roman"/>
                <w:sz w:val="18"/>
                <w:szCs w:val="18"/>
              </w:rPr>
              <w:t>8</w:t>
            </w:r>
            <w:r w:rsidR="005D1F78" w:rsidRPr="008070DB">
              <w:rPr>
                <w:rFonts w:ascii="Times New Roman" w:hAnsi="Times New Roman" w:cs="Times New Roman"/>
                <w:sz w:val="18"/>
                <w:szCs w:val="18"/>
              </w:rPr>
              <w:t>3</w:t>
            </w:r>
            <w:r w:rsidR="00D20542" w:rsidRPr="008070DB">
              <w:rPr>
                <w:rFonts w:ascii="Times New Roman" w:hAnsi="Times New Roman" w:cs="Times New Roman"/>
                <w:sz w:val="18"/>
                <w:szCs w:val="18"/>
              </w:rPr>
              <w:t>.2.</w:t>
            </w:r>
            <w:r w:rsidR="001A4DE8" w:rsidRPr="008070DB">
              <w:rPr>
                <w:rFonts w:ascii="Times New Roman" w:hAnsi="Times New Roman" w:cs="Times New Roman"/>
                <w:sz w:val="18"/>
                <w:szCs w:val="18"/>
              </w:rPr>
              <w:t xml:space="preserve">: </w:t>
            </w:r>
          </w:p>
          <w:p w14:paraId="56C39C68" w14:textId="6E5F98E1"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5D1F78" w:rsidRPr="008070DB">
              <w:rPr>
                <w:rFonts w:ascii="Times New Roman" w:hAnsi="Times New Roman" w:cs="Times New Roman"/>
                <w:sz w:val="18"/>
                <w:szCs w:val="18"/>
              </w:rPr>
              <w:t>7</w:t>
            </w:r>
            <w:r w:rsidR="0057535D" w:rsidRPr="008070DB">
              <w:rPr>
                <w:rFonts w:ascii="Times New Roman" w:hAnsi="Times New Roman" w:cs="Times New Roman"/>
                <w:sz w:val="18"/>
                <w:szCs w:val="18"/>
              </w:rPr>
              <w:t>.</w:t>
            </w:r>
            <w:r w:rsidR="004832AC" w:rsidRPr="008070DB">
              <w:rPr>
                <w:rFonts w:ascii="Times New Roman" w:hAnsi="Times New Roman" w:cs="Times New Roman"/>
                <w:sz w:val="18"/>
                <w:szCs w:val="18"/>
              </w:rPr>
              <w:t>2.1.</w:t>
            </w:r>
            <w:r w:rsidR="001A4DE8" w:rsidRPr="008070DB">
              <w:rPr>
                <w:rFonts w:ascii="Times New Roman" w:hAnsi="Times New Roman" w:cs="Times New Roman"/>
                <w:sz w:val="18"/>
                <w:szCs w:val="18"/>
              </w:rPr>
              <w:t xml:space="preserve"> în cazul în care o poziţie de risc l atribuită entităţii de referinţă privind creditul k este un indice de cedit cotat la o bursă recunoscută, </w:t>
            </w:r>
          </w:p>
          <w:p w14:paraId="2954286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6E12074F" wp14:editId="44AF5D08">
                  <wp:extent cx="655607" cy="316754"/>
                  <wp:effectExtent l="0" t="0" r="0" b="7620"/>
                  <wp:docPr id="755157002" name="Picture 75515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7727" cy="322610"/>
                          </a:xfrm>
                          <a:prstGeom prst="rect">
                            <a:avLst/>
                          </a:prstGeom>
                          <a:noFill/>
                        </pic:spPr>
                      </pic:pic>
                    </a:graphicData>
                  </a:graphic>
                </wp:inline>
              </w:drawing>
            </w:r>
          </w:p>
          <w:p w14:paraId="1C9FFE52" w14:textId="108B0A65"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este pus în corespondenţă cu unul dintre cei doi prezentaţi în tabelul 4, pe baza calităţii creditului majorităţii componentelor individuale ale </w:t>
            </w:r>
            <w:proofErr w:type="gramStart"/>
            <w:r w:rsidRPr="008070DB">
              <w:rPr>
                <w:rFonts w:ascii="Times New Roman" w:hAnsi="Times New Roman" w:cs="Times New Roman"/>
                <w:sz w:val="18"/>
                <w:szCs w:val="18"/>
              </w:rPr>
              <w:t>acestuia;</w:t>
            </w:r>
            <w:proofErr w:type="gramEnd"/>
            <w:r w:rsidRPr="008070DB">
              <w:rPr>
                <w:rFonts w:ascii="Times New Roman" w:hAnsi="Times New Roman" w:cs="Times New Roman"/>
                <w:sz w:val="18"/>
                <w:szCs w:val="18"/>
              </w:rPr>
              <w:t xml:space="preserve"> </w:t>
            </w:r>
          </w:p>
          <w:p w14:paraId="40EC5B04" w14:textId="0F23BC18" w:rsidR="001A4DE8"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5D1F78" w:rsidRPr="008070DB">
              <w:rPr>
                <w:rFonts w:ascii="Times New Roman" w:hAnsi="Times New Roman" w:cs="Times New Roman"/>
                <w:sz w:val="18"/>
                <w:szCs w:val="18"/>
              </w:rPr>
              <w:t>7</w:t>
            </w:r>
            <w:r w:rsidR="004832AC" w:rsidRPr="008070DB">
              <w:rPr>
                <w:rFonts w:ascii="Times New Roman" w:hAnsi="Times New Roman" w:cs="Times New Roman"/>
                <w:sz w:val="18"/>
                <w:szCs w:val="18"/>
              </w:rPr>
              <w:t>.2.</w:t>
            </w:r>
            <w:r w:rsidR="005D1F78" w:rsidRPr="008070DB">
              <w:rPr>
                <w:rFonts w:ascii="Times New Roman" w:hAnsi="Times New Roman" w:cs="Times New Roman"/>
                <w:sz w:val="18"/>
                <w:szCs w:val="18"/>
              </w:rPr>
              <w:t>2</w:t>
            </w:r>
            <w:r w:rsidR="004832AC" w:rsidRPr="008070DB">
              <w:rPr>
                <w:rFonts w:ascii="Times New Roman" w:hAnsi="Times New Roman" w:cs="Times New Roman"/>
                <w:sz w:val="18"/>
                <w:szCs w:val="18"/>
              </w:rPr>
              <w:t>.</w:t>
            </w:r>
            <w:r w:rsidR="001A4DE8" w:rsidRPr="008070DB">
              <w:rPr>
                <w:rFonts w:ascii="Times New Roman" w:hAnsi="Times New Roman" w:cs="Times New Roman"/>
                <w:sz w:val="18"/>
                <w:szCs w:val="18"/>
              </w:rPr>
              <w:t xml:space="preserve"> în cazul în care o poziţie de risc l atribuită entităţii de referinţă privind creditul k nu este menţionată la </w:t>
            </w:r>
            <w:r w:rsidR="0057535D" w:rsidRPr="008070DB">
              <w:rPr>
                <w:rFonts w:ascii="Times New Roman" w:hAnsi="Times New Roman" w:cs="Times New Roman"/>
                <w:sz w:val="18"/>
                <w:szCs w:val="18"/>
              </w:rPr>
              <w:t>subpunctul 8</w:t>
            </w:r>
            <w:r w:rsidR="005D1F78" w:rsidRPr="008070DB">
              <w:rPr>
                <w:rFonts w:ascii="Times New Roman" w:hAnsi="Times New Roman" w:cs="Times New Roman"/>
                <w:sz w:val="18"/>
                <w:szCs w:val="18"/>
              </w:rPr>
              <w:t>7</w:t>
            </w:r>
            <w:r w:rsidR="0057535D" w:rsidRPr="008070DB">
              <w:rPr>
                <w:rFonts w:ascii="Times New Roman" w:hAnsi="Times New Roman" w:cs="Times New Roman"/>
                <w:sz w:val="18"/>
                <w:szCs w:val="18"/>
              </w:rPr>
              <w:t>.2.1.</w:t>
            </w:r>
            <w:r w:rsidR="001A4DE8" w:rsidRPr="008070DB">
              <w:rPr>
                <w:rFonts w:ascii="Times New Roman" w:hAnsi="Times New Roman" w:cs="Times New Roman"/>
                <w:sz w:val="18"/>
                <w:szCs w:val="18"/>
              </w:rPr>
              <w:t xml:space="preserve">, </w:t>
            </w:r>
          </w:p>
          <w:p w14:paraId="466C9061"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1690D526" wp14:editId="4D4DD318">
                  <wp:extent cx="689825" cy="333286"/>
                  <wp:effectExtent l="0" t="0" r="0" b="0"/>
                  <wp:docPr id="482246420" name="Picture 482246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9098" cy="337766"/>
                          </a:xfrm>
                          <a:prstGeom prst="rect">
                            <a:avLst/>
                          </a:prstGeom>
                          <a:noFill/>
                        </pic:spPr>
                      </pic:pic>
                    </a:graphicData>
                  </a:graphic>
                </wp:inline>
              </w:drawing>
            </w:r>
          </w:p>
          <w:p w14:paraId="4DEBB09B" w14:textId="6436A6EE"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este media ponderată a factorilor impuși de Banca Națională a Moldovei puși în corespondenţă cu fiecare componentă în conformitate cu metoda prevăzută la </w:t>
            </w:r>
            <w:r w:rsidR="0057535D" w:rsidRPr="008070DB">
              <w:rPr>
                <w:rFonts w:eastAsiaTheme="minorHAnsi"/>
                <w:color w:val="000000"/>
                <w:sz w:val="18"/>
                <w:szCs w:val="18"/>
                <w:lang w:val="en-US" w:eastAsia="en-US"/>
                <w14:ligatures w14:val="standardContextual"/>
              </w:rPr>
              <w:t xml:space="preserve">subpunctul </w:t>
            </w:r>
            <w:r w:rsidR="00C76A7C" w:rsidRPr="008070DB">
              <w:rPr>
                <w:rFonts w:eastAsiaTheme="minorHAnsi"/>
                <w:color w:val="000000"/>
                <w:sz w:val="18"/>
                <w:szCs w:val="18"/>
                <w:lang w:val="en-US" w:eastAsia="en-US"/>
                <w14:ligatures w14:val="standardContextual"/>
              </w:rPr>
              <w:t>8</w:t>
            </w:r>
            <w:r w:rsidR="005D1F78" w:rsidRPr="008070DB">
              <w:rPr>
                <w:rFonts w:eastAsiaTheme="minorHAnsi"/>
                <w:color w:val="000000"/>
                <w:sz w:val="18"/>
                <w:szCs w:val="18"/>
                <w:lang w:val="en-US" w:eastAsia="en-US"/>
                <w14:ligatures w14:val="standardContextual"/>
              </w:rPr>
              <w:t>7</w:t>
            </w:r>
            <w:r w:rsidR="0057535D" w:rsidRPr="008070DB">
              <w:rPr>
                <w:rFonts w:eastAsiaTheme="minorHAnsi"/>
                <w:color w:val="000000"/>
                <w:sz w:val="18"/>
                <w:szCs w:val="18"/>
                <w:lang w:val="en-US" w:eastAsia="en-US"/>
                <w14:ligatures w14:val="standardContextual"/>
              </w:rPr>
              <w:t>.1.</w:t>
            </w:r>
            <w:r w:rsidRPr="008070DB">
              <w:rPr>
                <w:rFonts w:eastAsiaTheme="minorHAnsi"/>
                <w:color w:val="000000"/>
                <w:sz w:val="18"/>
                <w:szCs w:val="18"/>
                <w:lang w:val="ro-MD" w:eastAsia="en-US"/>
                <w14:ligatures w14:val="standardContextual"/>
              </w:rPr>
              <w:t xml:space="preserve">, ponderile fiind date de proporţia valorii noţionale a componentelor incluse în această poziţie. </w:t>
            </w:r>
          </w:p>
          <w:p w14:paraId="75527899" w14:textId="77777777" w:rsidR="001A4DE8" w:rsidRPr="008070DB" w:rsidRDefault="001A4DE8" w:rsidP="003456B0">
            <w:pPr>
              <w:pStyle w:val="Default"/>
              <w:jc w:val="both"/>
              <w:rPr>
                <w:rFonts w:ascii="Times New Roman" w:hAnsi="Times New Roman" w:cs="Times New Roman"/>
                <w:sz w:val="18"/>
                <w:szCs w:val="18"/>
              </w:rPr>
            </w:pPr>
          </w:p>
          <w:p w14:paraId="77E9846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Tabelul 4</w:t>
            </w:r>
          </w:p>
          <w:tbl>
            <w:tblPr>
              <w:tblW w:w="400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1461"/>
              <w:gridCol w:w="2546"/>
            </w:tblGrid>
            <w:tr w:rsidR="001A4DE8" w:rsidRPr="00EB7E01" w14:paraId="01D886A4" w14:textId="77777777" w:rsidTr="0057535D">
              <w:trPr>
                <w:trHeight w:val="433"/>
              </w:trPr>
              <w:tc>
                <w:tcPr>
                  <w:tcW w:w="1461" w:type="dxa"/>
                  <w:tcBorders>
                    <w:top w:val="outset" w:sz="6" w:space="0" w:color="auto"/>
                    <w:left w:val="outset" w:sz="6" w:space="0" w:color="auto"/>
                    <w:bottom w:val="outset" w:sz="6" w:space="0" w:color="auto"/>
                    <w:right w:val="outset" w:sz="6" w:space="0" w:color="auto"/>
                  </w:tcBorders>
                  <w:shd w:val="clear" w:color="auto" w:fill="FFFFFF"/>
                  <w:hideMark/>
                </w:tcPr>
                <w:p w14:paraId="548A8418" w14:textId="77777777" w:rsidR="001A4DE8" w:rsidRPr="008070DB" w:rsidRDefault="001A4DE8" w:rsidP="00EB7E01">
                  <w:pPr>
                    <w:framePr w:hSpace="180" w:wrap="around" w:vAnchor="text" w:hAnchor="text" w:y="1"/>
                    <w:spacing w:before="60" w:after="60"/>
                    <w:suppressOverlap/>
                    <w:jc w:val="both"/>
                    <w:rPr>
                      <w:b/>
                      <w:bCs/>
                      <w:color w:val="333333"/>
                      <w:sz w:val="18"/>
                      <w:szCs w:val="18"/>
                      <w:lang w:eastAsia="ro-MD"/>
                    </w:rPr>
                  </w:pPr>
                  <w:r w:rsidRPr="008070DB">
                    <w:rPr>
                      <w:b/>
                      <w:bCs/>
                      <w:color w:val="333333"/>
                      <w:sz w:val="18"/>
                      <w:szCs w:val="18"/>
                      <w:lang w:eastAsia="ro-MD"/>
                    </w:rPr>
                    <w:lastRenderedPageBreak/>
                    <w:t>Calitatea creditului dominantă</w:t>
                  </w:r>
                </w:p>
              </w:tc>
              <w:tc>
                <w:tcPr>
                  <w:tcW w:w="2546" w:type="dxa"/>
                  <w:tcBorders>
                    <w:top w:val="outset" w:sz="6" w:space="0" w:color="auto"/>
                    <w:left w:val="outset" w:sz="6" w:space="0" w:color="auto"/>
                    <w:bottom w:val="outset" w:sz="6" w:space="0" w:color="auto"/>
                    <w:right w:val="outset" w:sz="6" w:space="0" w:color="auto"/>
                  </w:tcBorders>
                  <w:shd w:val="clear" w:color="auto" w:fill="FFFFFF"/>
                  <w:hideMark/>
                </w:tcPr>
                <w:p w14:paraId="60FA6A9A" w14:textId="779366D1" w:rsidR="001A4DE8" w:rsidRPr="008070DB" w:rsidRDefault="001A4DE8" w:rsidP="00EB7E01">
                  <w:pPr>
                    <w:framePr w:hSpace="180" w:wrap="around" w:vAnchor="text" w:hAnchor="text" w:y="1"/>
                    <w:spacing w:before="60" w:after="60"/>
                    <w:suppressOverlap/>
                    <w:jc w:val="both"/>
                    <w:rPr>
                      <w:b/>
                      <w:bCs/>
                      <w:color w:val="333333"/>
                      <w:sz w:val="18"/>
                      <w:szCs w:val="18"/>
                      <w:lang w:val="en-US" w:eastAsia="ro-MD"/>
                    </w:rPr>
                  </w:pPr>
                  <w:r w:rsidRPr="008070DB">
                    <w:rPr>
                      <w:b/>
                      <w:bCs/>
                      <w:color w:val="333333"/>
                      <w:sz w:val="18"/>
                      <w:szCs w:val="18"/>
                      <w:lang w:val="en-US" w:eastAsia="ro-MD"/>
                    </w:rPr>
                    <w:t xml:space="preserve">Factorul </w:t>
                  </w:r>
                  <w:r w:rsidR="00D20542" w:rsidRPr="008070DB">
                    <w:rPr>
                      <w:b/>
                      <w:bCs/>
                      <w:color w:val="333333"/>
                      <w:sz w:val="18"/>
                      <w:szCs w:val="18"/>
                      <w:lang w:val="en-US" w:eastAsia="ro-MD"/>
                    </w:rPr>
                    <w:t>stabilit</w:t>
                  </w:r>
                  <w:r w:rsidRPr="008070DB">
                    <w:rPr>
                      <w:b/>
                      <w:bCs/>
                      <w:color w:val="333333"/>
                      <w:sz w:val="18"/>
                      <w:szCs w:val="18"/>
                      <w:lang w:val="en-US" w:eastAsia="ro-MD"/>
                    </w:rPr>
                    <w:t xml:space="preserve"> de </w:t>
                  </w:r>
                  <w:r w:rsidRPr="008070DB">
                    <w:rPr>
                      <w:b/>
                      <w:bCs/>
                      <w:sz w:val="18"/>
                      <w:szCs w:val="18"/>
                      <w:lang w:val="en-US"/>
                    </w:rPr>
                    <w:t>Banca Națională a Moldovei</w:t>
                  </w:r>
                  <w:r w:rsidRPr="008070DB">
                    <w:rPr>
                      <w:b/>
                      <w:bCs/>
                      <w:color w:val="333333"/>
                      <w:sz w:val="18"/>
                      <w:szCs w:val="18"/>
                      <w:lang w:val="en-US" w:eastAsia="ro-MD"/>
                    </w:rPr>
                    <w:t xml:space="preserve"> pentru indici cotați</w:t>
                  </w:r>
                </w:p>
              </w:tc>
            </w:tr>
            <w:tr w:rsidR="001A4DE8" w:rsidRPr="00EB7E01" w14:paraId="7353175F" w14:textId="77777777" w:rsidTr="0057535D">
              <w:trPr>
                <w:trHeight w:val="307"/>
              </w:trPr>
              <w:tc>
                <w:tcPr>
                  <w:tcW w:w="1461" w:type="dxa"/>
                  <w:tcBorders>
                    <w:top w:val="outset" w:sz="6" w:space="0" w:color="auto"/>
                    <w:left w:val="outset" w:sz="6" w:space="0" w:color="auto"/>
                    <w:bottom w:val="outset" w:sz="6" w:space="0" w:color="auto"/>
                    <w:right w:val="outset" w:sz="6" w:space="0" w:color="auto"/>
                  </w:tcBorders>
                  <w:shd w:val="clear" w:color="auto" w:fill="FFFFFF"/>
                  <w:hideMark/>
                </w:tcPr>
                <w:p w14:paraId="6AB1FC3F" w14:textId="77777777" w:rsidR="001A4DE8" w:rsidRPr="008070DB" w:rsidRDefault="001A4DE8" w:rsidP="00EB7E01">
                  <w:pPr>
                    <w:framePr w:hSpace="180" w:wrap="around" w:vAnchor="text" w:hAnchor="text" w:y="1"/>
                    <w:spacing w:before="60" w:after="60"/>
                    <w:suppressOverlap/>
                    <w:jc w:val="both"/>
                    <w:rPr>
                      <w:color w:val="333333"/>
                      <w:sz w:val="18"/>
                      <w:szCs w:val="18"/>
                      <w:lang w:val="en-US" w:eastAsia="ro-MD"/>
                    </w:rPr>
                  </w:pPr>
                  <w:r w:rsidRPr="008070DB">
                    <w:rPr>
                      <w:color w:val="333333"/>
                      <w:sz w:val="18"/>
                      <w:szCs w:val="18"/>
                      <w:lang w:val="en-US" w:eastAsia="ro-MD"/>
                    </w:rPr>
                    <w:t>Categoria investment grade</w:t>
                  </w:r>
                </w:p>
              </w:tc>
              <w:tc>
                <w:tcPr>
                  <w:tcW w:w="2546" w:type="dxa"/>
                  <w:tcBorders>
                    <w:top w:val="outset" w:sz="6" w:space="0" w:color="auto"/>
                    <w:left w:val="outset" w:sz="6" w:space="0" w:color="auto"/>
                    <w:bottom w:val="outset" w:sz="6" w:space="0" w:color="auto"/>
                    <w:right w:val="outset" w:sz="6" w:space="0" w:color="auto"/>
                  </w:tcBorders>
                  <w:shd w:val="clear" w:color="auto" w:fill="FFFFFF"/>
                  <w:hideMark/>
                </w:tcPr>
                <w:p w14:paraId="4926DF58" w14:textId="77777777" w:rsidR="001A4DE8" w:rsidRPr="008070DB" w:rsidRDefault="001A4DE8" w:rsidP="00EB7E01">
                  <w:pPr>
                    <w:framePr w:hSpace="180" w:wrap="around" w:vAnchor="text" w:hAnchor="text" w:y="1"/>
                    <w:spacing w:before="60" w:after="60"/>
                    <w:suppressOverlap/>
                    <w:jc w:val="both"/>
                    <w:rPr>
                      <w:color w:val="333333"/>
                      <w:sz w:val="18"/>
                      <w:szCs w:val="18"/>
                      <w:lang w:val="en-US" w:eastAsia="ro-MD"/>
                    </w:rPr>
                  </w:pPr>
                  <w:r w:rsidRPr="008070DB">
                    <w:rPr>
                      <w:color w:val="333333"/>
                      <w:sz w:val="18"/>
                      <w:szCs w:val="18"/>
                      <w:lang w:val="en-US" w:eastAsia="ro-MD"/>
                    </w:rPr>
                    <w:t>0,38 %</w:t>
                  </w:r>
                </w:p>
              </w:tc>
            </w:tr>
            <w:tr w:rsidR="001A4DE8" w:rsidRPr="00EB7E01" w14:paraId="0C76401B" w14:textId="77777777" w:rsidTr="0057535D">
              <w:trPr>
                <w:trHeight w:val="361"/>
              </w:trPr>
              <w:tc>
                <w:tcPr>
                  <w:tcW w:w="1461" w:type="dxa"/>
                  <w:tcBorders>
                    <w:top w:val="outset" w:sz="6" w:space="0" w:color="auto"/>
                    <w:left w:val="outset" w:sz="6" w:space="0" w:color="auto"/>
                    <w:bottom w:val="outset" w:sz="6" w:space="0" w:color="auto"/>
                    <w:right w:val="outset" w:sz="6" w:space="0" w:color="auto"/>
                  </w:tcBorders>
                  <w:shd w:val="clear" w:color="auto" w:fill="FFFFFF"/>
                  <w:hideMark/>
                </w:tcPr>
                <w:p w14:paraId="55B480A3" w14:textId="77777777" w:rsidR="001A4DE8" w:rsidRPr="008070DB" w:rsidRDefault="001A4DE8" w:rsidP="00EB7E01">
                  <w:pPr>
                    <w:framePr w:hSpace="180" w:wrap="around" w:vAnchor="text" w:hAnchor="text" w:y="1"/>
                    <w:spacing w:before="60" w:after="60"/>
                    <w:suppressOverlap/>
                    <w:jc w:val="both"/>
                    <w:rPr>
                      <w:color w:val="333333"/>
                      <w:sz w:val="18"/>
                      <w:szCs w:val="18"/>
                      <w:lang w:val="en-US" w:eastAsia="ro-MD"/>
                    </w:rPr>
                  </w:pPr>
                  <w:r w:rsidRPr="008070DB">
                    <w:rPr>
                      <w:color w:val="333333"/>
                      <w:sz w:val="18"/>
                      <w:szCs w:val="18"/>
                      <w:lang w:val="en-US" w:eastAsia="ro-MD"/>
                    </w:rPr>
                    <w:t>Categoria non-investment grade</w:t>
                  </w:r>
                </w:p>
              </w:tc>
              <w:tc>
                <w:tcPr>
                  <w:tcW w:w="2546" w:type="dxa"/>
                  <w:tcBorders>
                    <w:top w:val="outset" w:sz="6" w:space="0" w:color="auto"/>
                    <w:left w:val="outset" w:sz="6" w:space="0" w:color="auto"/>
                    <w:bottom w:val="outset" w:sz="6" w:space="0" w:color="auto"/>
                    <w:right w:val="outset" w:sz="6" w:space="0" w:color="auto"/>
                  </w:tcBorders>
                  <w:shd w:val="clear" w:color="auto" w:fill="FFFFFF"/>
                  <w:hideMark/>
                </w:tcPr>
                <w:p w14:paraId="08B7C110" w14:textId="77777777" w:rsidR="001A4DE8" w:rsidRPr="008070DB" w:rsidRDefault="001A4DE8" w:rsidP="00EB7E01">
                  <w:pPr>
                    <w:framePr w:hSpace="180" w:wrap="around" w:vAnchor="text" w:hAnchor="text" w:y="1"/>
                    <w:spacing w:before="60" w:after="60"/>
                    <w:suppressOverlap/>
                    <w:jc w:val="both"/>
                    <w:rPr>
                      <w:color w:val="333333"/>
                      <w:sz w:val="18"/>
                      <w:szCs w:val="18"/>
                      <w:lang w:val="en-US" w:eastAsia="ro-MD"/>
                    </w:rPr>
                  </w:pPr>
                  <w:r w:rsidRPr="008070DB">
                    <w:rPr>
                      <w:color w:val="333333"/>
                      <w:sz w:val="18"/>
                      <w:szCs w:val="18"/>
                      <w:lang w:val="en-US" w:eastAsia="ro-MD"/>
                    </w:rPr>
                    <w:t>1,06 %</w:t>
                  </w:r>
                </w:p>
              </w:tc>
            </w:tr>
          </w:tbl>
          <w:p w14:paraId="35FD4679"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81BF596"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010A883"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7ACD721"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B77EFC1"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8D80A39"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1294F6D"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303B068"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371EC50"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7DDEB9F"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41A6803"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632D2C1"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02D770E"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E7D7AD1"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F76F92D"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19B75A7"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97036F6"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529FF5C"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4C4D10B"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7521419"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D3CEA54"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50B6CED" w14:textId="0D9F8A45"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r w:rsidRPr="008070DB">
              <w:rPr>
                <w:rFonts w:eastAsiaTheme="minorHAnsi"/>
                <w:b/>
                <w:bCs/>
                <w:i/>
                <w:iCs/>
                <w:color w:val="000000"/>
                <w:sz w:val="18"/>
                <w:szCs w:val="18"/>
                <w:lang w:val="ro-RO" w:eastAsia="en-US"/>
                <w14:ligatures w14:val="standardContextual"/>
              </w:rPr>
              <w:t xml:space="preserve"> </w:t>
            </w:r>
          </w:p>
        </w:tc>
        <w:tc>
          <w:tcPr>
            <w:tcW w:w="1554" w:type="dxa"/>
          </w:tcPr>
          <w:p w14:paraId="225E7F90" w14:textId="3DA813B7"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130000CD" w14:textId="77777777" w:rsidR="001A4DE8" w:rsidRPr="00A96E09" w:rsidRDefault="001A4DE8" w:rsidP="00C14AF6">
            <w:pPr>
              <w:jc w:val="both"/>
              <w:rPr>
                <w:sz w:val="18"/>
                <w:szCs w:val="18"/>
                <w:lang w:val="ro-MD"/>
              </w:rPr>
            </w:pPr>
          </w:p>
        </w:tc>
      </w:tr>
      <w:tr w:rsidR="001A4DE8" w:rsidRPr="00A96E09" w14:paraId="5946408C" w14:textId="77777777" w:rsidTr="00C14AF6">
        <w:trPr>
          <w:trHeight w:val="918"/>
        </w:trPr>
        <w:tc>
          <w:tcPr>
            <w:tcW w:w="3866" w:type="dxa"/>
          </w:tcPr>
          <w:p w14:paraId="449199B2" w14:textId="6A44F9FC"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280d </w:t>
            </w:r>
            <w:r w:rsidRPr="00A96E09">
              <w:rPr>
                <w:rFonts w:ascii="Times New Roman" w:hAnsi="Times New Roman"/>
                <w:b/>
                <w:bCs/>
                <w:color w:val="000000"/>
                <w:sz w:val="18"/>
                <w:szCs w:val="18"/>
              </w:rPr>
              <w:t>Majorarea aferentă categoriei de risc privind titlurile de capital</w:t>
            </w:r>
          </w:p>
          <w:p w14:paraId="20C20E3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În sensul alineatului (2), instituţiile stabilesc entităţile de referinţă relevante privind titlurile de capital pentru setul de compensare în conformitate cu următoarele: </w:t>
            </w:r>
          </w:p>
          <w:p w14:paraId="4FA92C6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 pentru fiecare emitent al unui instrument de capital de referinţă care este suport al unei tranzacţii având la bază o singură semnătură atribuite categoriei de risc privind titlurile de capital există o singură entitate de referinţă privind titlurile de capital; tranzacţiile având la bază o singură semnătură sunt atribuite aceleiași entităţi de referinţă privind titlurile de capital numai în cazul în care instrumentul de capital de referinţă care este suport al tranzacţiilor respective este emis de același emitent; </w:t>
            </w:r>
          </w:p>
          <w:p w14:paraId="281A2B8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pentru fiecare grup de instrumente de capital de referinţă sau de instrumente financiare derivate pe titluri de capital având la bază o singură semnătură care sunt suport al unei tranzacţii având la bază mai multe semnături atribuite categoriei de risc privind titlurile de capital există o singură entitate de referinţă privind titlurile de capital; tranzacţiile având la bază mai multe semnături sunt atribuite aceleiași entităţi de referinţă privind titlurile de capital numai în cazul în care grupul de instrumente de capital de referinţă sau de instrumente financiare derivate pe titluri de capital având la bază o singură semnătură care sunt suport al tranzacţiilor respective, după caz, are aceleași componente. </w:t>
            </w:r>
          </w:p>
          <w:p w14:paraId="0F04193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În sensul articolului 278, instituţiile calculează majorarea aferentă categoriei de risc privind </w:t>
            </w:r>
            <w:r w:rsidRPr="00A96E09">
              <w:rPr>
                <w:rFonts w:ascii="Times New Roman" w:hAnsi="Times New Roman"/>
                <w:color w:val="000000"/>
                <w:sz w:val="18"/>
                <w:szCs w:val="18"/>
              </w:rPr>
              <w:lastRenderedPageBreak/>
              <w:t xml:space="preserve">titlurile de capital pentru un anumit set de compensare după cum urmează: </w:t>
            </w:r>
          </w:p>
          <w:p w14:paraId="2B48C1B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1F0C65A" wp14:editId="7CF63A1E">
                  <wp:extent cx="2538518" cy="336430"/>
                  <wp:effectExtent l="0" t="0" r="0" b="6985"/>
                  <wp:docPr id="61891597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42125" cy="350161"/>
                          </a:xfrm>
                          <a:prstGeom prst="rect">
                            <a:avLst/>
                          </a:prstGeom>
                          <a:noFill/>
                        </pic:spPr>
                      </pic:pic>
                    </a:graphicData>
                  </a:graphic>
                </wp:inline>
              </w:drawing>
            </w:r>
          </w:p>
          <w:p w14:paraId="213BE4F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11CCAC8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AddOn </w:t>
            </w:r>
            <w:r w:rsidRPr="00A96E09">
              <w:rPr>
                <w:rFonts w:ascii="Times New Roman" w:hAnsi="Times New Roman"/>
                <w:color w:val="000000"/>
                <w:sz w:val="18"/>
                <w:szCs w:val="18"/>
                <w:vertAlign w:val="superscript"/>
              </w:rPr>
              <w:t>Titluri de capital</w:t>
            </w:r>
            <w:r w:rsidRPr="00A96E09">
              <w:rPr>
                <w:rFonts w:ascii="Times New Roman" w:hAnsi="Times New Roman"/>
                <w:color w:val="000000"/>
                <w:sz w:val="18"/>
                <w:szCs w:val="18"/>
              </w:rPr>
              <w:t xml:space="preserve"> = majorarea aferentă categoriei de risc privind titlurile de </w:t>
            </w:r>
            <w:proofErr w:type="gramStart"/>
            <w:r w:rsidRPr="00A96E09">
              <w:rPr>
                <w:rFonts w:ascii="Times New Roman" w:hAnsi="Times New Roman"/>
                <w:color w:val="000000"/>
                <w:sz w:val="18"/>
                <w:szCs w:val="18"/>
              </w:rPr>
              <w:t>capital;</w:t>
            </w:r>
            <w:proofErr w:type="gramEnd"/>
            <w:r w:rsidRPr="00A96E09">
              <w:rPr>
                <w:rFonts w:ascii="Times New Roman" w:hAnsi="Times New Roman"/>
                <w:color w:val="000000"/>
                <w:sz w:val="18"/>
                <w:szCs w:val="18"/>
              </w:rPr>
              <w:t xml:space="preserve"> </w:t>
            </w:r>
          </w:p>
          <w:p w14:paraId="7402AE99" w14:textId="35EF39AB"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j = indicele care desemnează toate seturile de acoperire a riscului privind titlurile de capital stabilite în conformitate cu articolul 277a alineatul (1) litera (d) și cu articolul 277a alineatul (2) pentru setul de compensare; și </w:t>
            </w:r>
          </w:p>
          <w:p w14:paraId="25F1065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0D207F6C" wp14:editId="32C502B7">
                  <wp:extent cx="1069676" cy="208153"/>
                  <wp:effectExtent l="0" t="0" r="0" b="1905"/>
                  <wp:docPr id="81465637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07756" cy="215563"/>
                          </a:xfrm>
                          <a:prstGeom prst="rect">
                            <a:avLst/>
                          </a:prstGeom>
                          <a:noFill/>
                        </pic:spPr>
                      </pic:pic>
                    </a:graphicData>
                  </a:graphic>
                </wp:inline>
              </w:drawing>
            </w:r>
            <w:r w:rsidRPr="00A96E09">
              <w:rPr>
                <w:rFonts w:ascii="Times New Roman" w:hAnsi="Times New Roman"/>
                <w:color w:val="000000"/>
                <w:sz w:val="18"/>
                <w:szCs w:val="18"/>
              </w:rPr>
              <w:t xml:space="preserve">= majorarea aferentă categoriei de risc privind titlurile de capital pentru setul de acoperire a riscului j calculat în conformitate cu alineatul (3). </w:t>
            </w:r>
          </w:p>
          <w:p w14:paraId="2A8CFAAB"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(3) Instituţiile calculează majorarea aferentă categoriei de risc privind titlurile de capital pentru setul de acoperire a riscului j după cum urmează: </w:t>
            </w:r>
            <w:r w:rsidRPr="00A96E09">
              <w:rPr>
                <w:rFonts w:ascii="Times New Roman" w:hAnsi="Times New Roman"/>
                <w:b/>
                <w:bCs/>
                <w:color w:val="000000"/>
                <w:sz w:val="18"/>
                <w:szCs w:val="18"/>
              </w:rPr>
              <w:t xml:space="preserve">▼C7 ▼M8 </w:t>
            </w:r>
          </w:p>
          <w:p w14:paraId="7D793B66"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4B05EDF6" wp14:editId="3D86DB25">
                  <wp:extent cx="2683175" cy="483079"/>
                  <wp:effectExtent l="0" t="0" r="3175" b="0"/>
                  <wp:docPr id="38423408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16025" cy="561009"/>
                          </a:xfrm>
                          <a:prstGeom prst="rect">
                            <a:avLst/>
                          </a:prstGeom>
                          <a:noFill/>
                        </pic:spPr>
                      </pic:pic>
                    </a:graphicData>
                  </a:graphic>
                </wp:inline>
              </w:drawing>
            </w:r>
          </w:p>
          <w:p w14:paraId="2EE8AA9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2EE6654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992000A" wp14:editId="71188B85">
                  <wp:extent cx="922438" cy="181154"/>
                  <wp:effectExtent l="0" t="0" r="0" b="9525"/>
                  <wp:docPr id="1787316671"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30603" cy="182758"/>
                          </a:xfrm>
                          <a:prstGeom prst="rect">
                            <a:avLst/>
                          </a:prstGeom>
                          <a:noFill/>
                        </pic:spPr>
                      </pic:pic>
                    </a:graphicData>
                  </a:graphic>
                </wp:inline>
              </w:drawing>
            </w:r>
            <w:r w:rsidRPr="00A96E09">
              <w:rPr>
                <w:rFonts w:ascii="Times New Roman" w:hAnsi="Times New Roman"/>
                <w:color w:val="000000"/>
                <w:sz w:val="18"/>
                <w:szCs w:val="18"/>
              </w:rPr>
              <w:t xml:space="preserve"> = majorarea aferentă categoriei de risc privind titlurile de capital pentru setul de acoperire a riscului </w:t>
            </w:r>
            <w:proofErr w:type="gramStart"/>
            <w:r w:rsidRPr="00A96E09">
              <w:rPr>
                <w:rFonts w:ascii="Times New Roman" w:hAnsi="Times New Roman"/>
                <w:color w:val="000000"/>
                <w:sz w:val="18"/>
                <w:szCs w:val="18"/>
              </w:rPr>
              <w:t>j;</w:t>
            </w:r>
            <w:proofErr w:type="gramEnd"/>
            <w:r w:rsidRPr="00A96E09">
              <w:rPr>
                <w:rFonts w:ascii="Times New Roman" w:hAnsi="Times New Roman"/>
                <w:color w:val="000000"/>
                <w:sz w:val="18"/>
                <w:szCs w:val="18"/>
              </w:rPr>
              <w:t xml:space="preserve"> </w:t>
            </w:r>
          </w:p>
          <w:p w14:paraId="57C78A7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є</w:t>
            </w:r>
            <w:r w:rsidRPr="00A96E09">
              <w:rPr>
                <w:rFonts w:ascii="Times New Roman" w:hAnsi="Times New Roman"/>
                <w:color w:val="000000"/>
                <w:sz w:val="18"/>
                <w:szCs w:val="18"/>
                <w:vertAlign w:val="subscript"/>
              </w:rPr>
              <w:t xml:space="preserve">j </w:t>
            </w:r>
            <w:r w:rsidRPr="00A96E09">
              <w:rPr>
                <w:rFonts w:ascii="Times New Roman" w:hAnsi="Times New Roman"/>
                <w:color w:val="000000"/>
                <w:sz w:val="18"/>
                <w:szCs w:val="18"/>
              </w:rPr>
              <w:t xml:space="preserve">= coeficientul factorului impus de autorităţile de supraveghere aferent setului de acoperire a riscului pentru setul de acoperire a riscului j determinat în conformitate cu articolul </w:t>
            </w:r>
            <w:proofErr w:type="gramStart"/>
            <w:r w:rsidRPr="00A96E09">
              <w:rPr>
                <w:rFonts w:ascii="Times New Roman" w:hAnsi="Times New Roman"/>
                <w:color w:val="000000"/>
                <w:sz w:val="18"/>
                <w:szCs w:val="18"/>
              </w:rPr>
              <w:t>280;</w:t>
            </w:r>
            <w:proofErr w:type="gramEnd"/>
            <w:r w:rsidRPr="00A96E09">
              <w:rPr>
                <w:rFonts w:ascii="Times New Roman" w:hAnsi="Times New Roman"/>
                <w:color w:val="000000"/>
                <w:sz w:val="18"/>
                <w:szCs w:val="18"/>
              </w:rPr>
              <w:t xml:space="preserve"> </w:t>
            </w:r>
          </w:p>
          <w:p w14:paraId="1D17C9E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k = indicele care desemnează entităţile de referinţă privind titlurile de capital ale setului de </w:t>
            </w:r>
            <w:r w:rsidRPr="00A96E09">
              <w:rPr>
                <w:rFonts w:ascii="Times New Roman" w:hAnsi="Times New Roman"/>
                <w:color w:val="000000"/>
                <w:sz w:val="18"/>
                <w:szCs w:val="18"/>
              </w:rPr>
              <w:lastRenderedPageBreak/>
              <w:t>compensare stabilit în conformitate cu alineatul (1</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34A87DA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55AD7250" wp14:editId="7A0750C8">
                  <wp:extent cx="722096" cy="189781"/>
                  <wp:effectExtent l="0" t="0" r="1905" b="1270"/>
                  <wp:docPr id="1560827068"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5152" cy="201097"/>
                          </a:xfrm>
                          <a:prstGeom prst="rect">
                            <a:avLst/>
                          </a:prstGeom>
                          <a:noFill/>
                        </pic:spPr>
                      </pic:pic>
                    </a:graphicData>
                  </a:graphic>
                </wp:inline>
              </w:drawing>
            </w:r>
            <w:r w:rsidRPr="00A96E09">
              <w:rPr>
                <w:rFonts w:ascii="Times New Roman" w:hAnsi="Times New Roman"/>
                <w:color w:val="000000"/>
                <w:sz w:val="18"/>
                <w:szCs w:val="18"/>
              </w:rPr>
              <w:t xml:space="preserve">= factorul de corelare al entităţii de referinţă privind titlurile de capital k; în cazul în care entitatea de referinţă privind titlurile de capital k a fost stabilită în conformitate cu alineatul (1) litera (a), </w:t>
            </w:r>
          </w:p>
          <w:p w14:paraId="3EE84881"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05B3142D" wp14:editId="4219BE37">
                  <wp:extent cx="1604513" cy="278669"/>
                  <wp:effectExtent l="0" t="0" r="0" b="7620"/>
                  <wp:docPr id="1484689712" name="Picture 4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28835" cy="282893"/>
                          </a:xfrm>
                          <a:prstGeom prst="rect">
                            <a:avLst/>
                          </a:prstGeom>
                          <a:noFill/>
                          <a:ln>
                            <a:noFill/>
                          </a:ln>
                        </pic:spPr>
                      </pic:pic>
                    </a:graphicData>
                  </a:graphic>
                </wp:inline>
              </w:drawing>
            </w:r>
          </w:p>
          <w:p w14:paraId="70324D7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În cazul în care entitatea de referinţă privind titlurile de capital k a fost stabilită în conformitate cu alineatul (1) litera (b), </w:t>
            </w:r>
          </w:p>
          <w:p w14:paraId="54D378F8"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70A322D6" wp14:editId="3D7C6A4C">
                  <wp:extent cx="1500996" cy="261876"/>
                  <wp:effectExtent l="0" t="0" r="4445" b="5080"/>
                  <wp:docPr id="321702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31593" cy="267214"/>
                          </a:xfrm>
                          <a:prstGeom prst="rect">
                            <a:avLst/>
                          </a:prstGeom>
                          <a:noFill/>
                        </pic:spPr>
                      </pic:pic>
                    </a:graphicData>
                  </a:graphic>
                </wp:inline>
              </w:drawing>
            </w:r>
          </w:p>
          <w:p w14:paraId="4FD4A3B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 și </w:t>
            </w:r>
          </w:p>
          <w:p w14:paraId="2B99E40C"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t>AddOn(Entitate</w:t>
            </w:r>
            <w:r w:rsidRPr="00A96E09">
              <w:rPr>
                <w:rFonts w:ascii="Times New Roman" w:hAnsi="Times New Roman"/>
                <w:color w:val="000000"/>
                <w:sz w:val="18"/>
                <w:szCs w:val="18"/>
                <w:vertAlign w:val="subscript"/>
              </w:rPr>
              <w:t>k</w:t>
            </w:r>
            <w:r w:rsidRPr="00A96E09">
              <w:rPr>
                <w:rFonts w:ascii="Times New Roman" w:hAnsi="Times New Roman"/>
                <w:color w:val="000000"/>
                <w:sz w:val="18"/>
                <w:szCs w:val="18"/>
              </w:rPr>
              <w:t xml:space="preserve"> )</w:t>
            </w:r>
            <w:proofErr w:type="gramEnd"/>
            <w:r w:rsidRPr="00A96E09">
              <w:rPr>
                <w:rFonts w:ascii="Times New Roman" w:hAnsi="Times New Roman"/>
                <w:color w:val="000000"/>
                <w:sz w:val="18"/>
                <w:szCs w:val="18"/>
              </w:rPr>
              <w:t xml:space="preserve"> = majorarea pentru entitatea de referinţă privind titlurile de capital k determinată în conformitate cu alineatul (4). </w:t>
            </w:r>
          </w:p>
          <w:p w14:paraId="49CE7328"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(4) Instituţiile calculează majorarea pentru entitatea de referinţă privind titlurile de capital k după cum urmează: </w:t>
            </w:r>
          </w:p>
          <w:p w14:paraId="1024945C"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6906B781" wp14:editId="41BABE28">
                  <wp:extent cx="2542891" cy="138023"/>
                  <wp:effectExtent l="0" t="0" r="0" b="0"/>
                  <wp:docPr id="25106065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55049" cy="165822"/>
                          </a:xfrm>
                          <a:prstGeom prst="rect">
                            <a:avLst/>
                          </a:prstGeom>
                          <a:noFill/>
                        </pic:spPr>
                      </pic:pic>
                    </a:graphicData>
                  </a:graphic>
                </wp:inline>
              </w:drawing>
            </w:r>
          </w:p>
          <w:p w14:paraId="665C443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7CB10388"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t>AddOn(Entitate</w:t>
            </w:r>
            <w:r w:rsidRPr="00A96E09">
              <w:rPr>
                <w:rFonts w:ascii="Times New Roman" w:hAnsi="Times New Roman"/>
                <w:color w:val="000000"/>
                <w:sz w:val="18"/>
                <w:szCs w:val="18"/>
                <w:vertAlign w:val="subscript"/>
              </w:rPr>
              <w:t>k</w:t>
            </w:r>
            <w:r w:rsidRPr="00A96E09">
              <w:rPr>
                <w:rFonts w:ascii="Times New Roman" w:hAnsi="Times New Roman"/>
                <w:color w:val="000000"/>
                <w:sz w:val="18"/>
                <w:szCs w:val="18"/>
              </w:rPr>
              <w:t xml:space="preserve"> )</w:t>
            </w:r>
            <w:proofErr w:type="gramEnd"/>
            <w:r w:rsidRPr="00A96E09">
              <w:rPr>
                <w:rFonts w:ascii="Times New Roman" w:hAnsi="Times New Roman"/>
                <w:color w:val="000000"/>
                <w:sz w:val="18"/>
                <w:szCs w:val="18"/>
              </w:rPr>
              <w:t xml:space="preserve"> = majorarea pentru entitatea de referinţă privind titlurile de capital </w:t>
            </w:r>
            <w:proofErr w:type="gramStart"/>
            <w:r w:rsidRPr="00A96E09">
              <w:rPr>
                <w:rFonts w:ascii="Times New Roman" w:hAnsi="Times New Roman"/>
                <w:color w:val="000000"/>
                <w:sz w:val="18"/>
                <w:szCs w:val="18"/>
              </w:rPr>
              <w:t>k;</w:t>
            </w:r>
            <w:proofErr w:type="gramEnd"/>
            <w:r w:rsidRPr="00A96E09">
              <w:rPr>
                <w:rFonts w:ascii="Times New Roman" w:hAnsi="Times New Roman"/>
                <w:color w:val="000000"/>
                <w:sz w:val="18"/>
                <w:szCs w:val="18"/>
              </w:rPr>
              <w:t xml:space="preserve"> </w:t>
            </w:r>
          </w:p>
          <w:p w14:paraId="2DE182A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341DECC2" wp14:editId="7B109B5A">
                  <wp:extent cx="952577" cy="224287"/>
                  <wp:effectExtent l="0" t="0" r="0" b="4445"/>
                  <wp:docPr id="2120662674" name="Picture 4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88988" cy="232860"/>
                          </a:xfrm>
                          <a:prstGeom prst="rect">
                            <a:avLst/>
                          </a:prstGeom>
                          <a:noFill/>
                          <a:ln>
                            <a:noFill/>
                          </a:ln>
                        </pic:spPr>
                      </pic:pic>
                    </a:graphicData>
                  </a:graphic>
                </wp:inline>
              </w:drawing>
            </w:r>
            <w:r w:rsidRPr="00A96E09">
              <w:rPr>
                <w:rFonts w:ascii="Times New Roman" w:hAnsi="Times New Roman"/>
                <w:color w:val="000000"/>
                <w:sz w:val="18"/>
                <w:szCs w:val="18"/>
              </w:rPr>
              <w:t xml:space="preserve">= factorul impus de autorităţile de supraveghere aplicabil entităţii de referinţă privind titlurile de capital k; în cazul în care entitatea de referinţă privind titlurile de capital k a fost stabilită în conformitate cu alineatul (1) litera (a), </w:t>
            </w:r>
          </w:p>
          <w:p w14:paraId="3F5DF91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4724B379" wp14:editId="6605F276">
                  <wp:extent cx="1478696" cy="241540"/>
                  <wp:effectExtent l="0" t="0" r="7620" b="6350"/>
                  <wp:docPr id="102121596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89469" cy="243300"/>
                          </a:xfrm>
                          <a:prstGeom prst="rect">
                            <a:avLst/>
                          </a:prstGeom>
                          <a:noFill/>
                        </pic:spPr>
                      </pic:pic>
                    </a:graphicData>
                  </a:graphic>
                </wp:inline>
              </w:drawing>
            </w:r>
          </w:p>
          <w:p w14:paraId="1329B89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în cazul în care entitatea de referinţă privind titlurile de capital k a fost stabilită în conformitate cu alineatul (1) litera (b), </w:t>
            </w:r>
          </w:p>
          <w:p w14:paraId="429ADBB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0D3379FA" wp14:editId="0ADB2EE2">
                  <wp:extent cx="1725283" cy="281819"/>
                  <wp:effectExtent l="0" t="0" r="0" b="4445"/>
                  <wp:docPr id="1071204308"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43547" cy="284802"/>
                          </a:xfrm>
                          <a:prstGeom prst="rect">
                            <a:avLst/>
                          </a:prstGeom>
                          <a:noFill/>
                        </pic:spPr>
                      </pic:pic>
                    </a:graphicData>
                  </a:graphic>
                </wp:inline>
              </w:drawing>
            </w:r>
          </w:p>
          <w:p w14:paraId="49EB95B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 și </w:t>
            </w:r>
          </w:p>
          <w:p w14:paraId="6DDB0A4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15A25D62" wp14:editId="10E544CF">
                  <wp:extent cx="1357917" cy="258792"/>
                  <wp:effectExtent l="0" t="0" r="0" b="8255"/>
                  <wp:docPr id="1148833769" name="Picture 5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79843" cy="262971"/>
                          </a:xfrm>
                          <a:prstGeom prst="rect">
                            <a:avLst/>
                          </a:prstGeom>
                          <a:noFill/>
                          <a:ln>
                            <a:noFill/>
                          </a:ln>
                        </pic:spPr>
                      </pic:pic>
                    </a:graphicData>
                  </a:graphic>
                </wp:inline>
              </w:drawing>
            </w:r>
            <w:r w:rsidRPr="00A96E09">
              <w:rPr>
                <w:rFonts w:ascii="Times New Roman" w:hAnsi="Times New Roman"/>
                <w:color w:val="000000"/>
                <w:sz w:val="18"/>
                <w:szCs w:val="18"/>
              </w:rPr>
              <w:t xml:space="preserve">= valoarea noţională efectivă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entităţii de referinţă privind titlurile de capital k, calculată după cum urmează: </w:t>
            </w:r>
          </w:p>
          <w:p w14:paraId="0725671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468D6243" wp14:editId="38FF6C7F">
                  <wp:extent cx="2640468" cy="224287"/>
                  <wp:effectExtent l="0" t="0" r="7620" b="4445"/>
                  <wp:docPr id="103812533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36623" cy="240949"/>
                          </a:xfrm>
                          <a:prstGeom prst="rect">
                            <a:avLst/>
                          </a:prstGeom>
                          <a:noFill/>
                        </pic:spPr>
                      </pic:pic>
                    </a:graphicData>
                  </a:graphic>
                </wp:inline>
              </w:drawing>
            </w:r>
          </w:p>
          <w:p w14:paraId="40F07A0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001833CF" w14:textId="26491E8B" w:rsidR="001A4DE8" w:rsidRPr="009634ED"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l = indicele care desemnează poziţia de risc (RiskPosition). </w:t>
            </w:r>
          </w:p>
        </w:tc>
        <w:tc>
          <w:tcPr>
            <w:tcW w:w="4356" w:type="dxa"/>
          </w:tcPr>
          <w:p w14:paraId="39F21AE8" w14:textId="02684CAE" w:rsidR="001A4DE8" w:rsidRPr="008070DB" w:rsidRDefault="001A4DE8" w:rsidP="003456B0">
            <w:pPr>
              <w:pStyle w:val="CM4"/>
              <w:spacing w:before="60" w:after="60"/>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Secțiunea a 13-a</w:t>
            </w:r>
          </w:p>
          <w:p w14:paraId="17FEF6CC" w14:textId="77777777" w:rsidR="001A4DE8" w:rsidRPr="008070DB" w:rsidRDefault="001A4DE8" w:rsidP="003456B0">
            <w:pPr>
              <w:pStyle w:val="Default"/>
              <w:jc w:val="both"/>
              <w:rPr>
                <w:rFonts w:ascii="Times New Roman" w:hAnsi="Times New Roman" w:cs="Times New Roman"/>
                <w:b/>
                <w:bCs/>
                <w:sz w:val="18"/>
                <w:szCs w:val="18"/>
              </w:rPr>
            </w:pPr>
            <w:r w:rsidRPr="008070DB">
              <w:rPr>
                <w:rFonts w:ascii="Times New Roman" w:hAnsi="Times New Roman" w:cs="Times New Roman"/>
                <w:b/>
                <w:bCs/>
                <w:sz w:val="18"/>
                <w:szCs w:val="18"/>
              </w:rPr>
              <w:t>Majorarea aferentă categoriei de risc privind titlurile de capital</w:t>
            </w:r>
          </w:p>
          <w:p w14:paraId="5D9AE648" w14:textId="096C67A4" w:rsidR="00713A0D"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8</w:t>
            </w:r>
            <w:r w:rsidR="00713A0D" w:rsidRPr="008070DB">
              <w:rPr>
                <w:rFonts w:ascii="Times New Roman" w:hAnsi="Times New Roman" w:cs="Times New Roman"/>
                <w:b/>
                <w:bCs/>
                <w:sz w:val="18"/>
                <w:szCs w:val="18"/>
              </w:rPr>
              <w:t>8.</w:t>
            </w:r>
            <w:r w:rsidR="00713A0D" w:rsidRPr="008070DB">
              <w:rPr>
                <w:rFonts w:ascii="Times New Roman" w:hAnsi="Times New Roman" w:cs="Times New Roman"/>
                <w:sz w:val="18"/>
                <w:szCs w:val="18"/>
              </w:rPr>
              <w:tab/>
              <w:t xml:space="preserve">În sensul punctului </w:t>
            </w:r>
            <w:r w:rsidRPr="008070DB">
              <w:rPr>
                <w:rFonts w:ascii="Times New Roman" w:hAnsi="Times New Roman" w:cs="Times New Roman"/>
                <w:sz w:val="18"/>
                <w:szCs w:val="18"/>
              </w:rPr>
              <w:t>8</w:t>
            </w:r>
            <w:r w:rsidR="00713A0D" w:rsidRPr="008070DB">
              <w:rPr>
                <w:rFonts w:ascii="Times New Roman" w:hAnsi="Times New Roman" w:cs="Times New Roman"/>
                <w:sz w:val="18"/>
                <w:szCs w:val="18"/>
              </w:rPr>
              <w:t xml:space="preserve">9, băncile stabilesc entităţile de referinţă relevante privind titlurile de capital pentru setul de compensare în conformitate cu următoarele: </w:t>
            </w:r>
          </w:p>
          <w:p w14:paraId="1A814076" w14:textId="4A50D1F8" w:rsidR="00713A0D"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713A0D" w:rsidRPr="008070DB">
              <w:rPr>
                <w:rFonts w:ascii="Times New Roman" w:hAnsi="Times New Roman" w:cs="Times New Roman"/>
                <w:sz w:val="18"/>
                <w:szCs w:val="18"/>
              </w:rPr>
              <w:t>8.1.</w:t>
            </w:r>
            <w:r w:rsidR="00713A0D" w:rsidRPr="008070DB">
              <w:rPr>
                <w:rFonts w:ascii="Times New Roman" w:hAnsi="Times New Roman" w:cs="Times New Roman"/>
                <w:sz w:val="18"/>
                <w:szCs w:val="18"/>
              </w:rPr>
              <w:tab/>
              <w:t xml:space="preserve">pentru fiecare emitent al unui instrument de capital de referinţă care este suport al unei tranzacţii având la bază o singură semnătură atribuite categoriei de risc privind titlurile de capital există o singură entitate de referinţă privind titlurile de capital; tranzacţiile având la bază o singură semnătură sunt atribuite aceleiași entităţi de referinţă privind titlurile de capital numai în cazul în care instrumentul de capital de referinţă care este suport al tranzacţiilor respective este emis de același emitent; </w:t>
            </w:r>
          </w:p>
          <w:p w14:paraId="6B929C59" w14:textId="5C15EC6B" w:rsidR="00713A0D" w:rsidRPr="008070DB" w:rsidRDefault="00C76A7C"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8</w:t>
            </w:r>
            <w:r w:rsidR="00713A0D" w:rsidRPr="008070DB">
              <w:rPr>
                <w:rFonts w:ascii="Times New Roman" w:hAnsi="Times New Roman" w:cs="Times New Roman"/>
                <w:sz w:val="18"/>
                <w:szCs w:val="18"/>
              </w:rPr>
              <w:t>8.2.</w:t>
            </w:r>
            <w:r w:rsidR="00713A0D" w:rsidRPr="008070DB">
              <w:rPr>
                <w:rFonts w:ascii="Times New Roman" w:hAnsi="Times New Roman" w:cs="Times New Roman"/>
                <w:sz w:val="18"/>
                <w:szCs w:val="18"/>
              </w:rPr>
              <w:tab/>
              <w:t xml:space="preserve">pentru fiecare grup de instrumente de capital de referinţă sau de instrumente financiare derivate pe titluri de capital având la bază o singură semnătură care sunt suport al unei tranzacţii având la bază mai multe semnături atribuite categoriei de risc privind titlurile de capital există o singură entitate de referinţă privind titlurile de capital; tranzacţiile având la bază mai multe semnături sunt atribuite aceleiași entităţi de referinţă privind titlurile de capital numai în cazul în care grupul de instrumente de capital de referinţă sau de instrumente financiare derivate pe titluri de capital având la bază o singură semnătură care sunt suport al tranzacţiilor respective, după caz, are aceleași componente. </w:t>
            </w:r>
          </w:p>
          <w:p w14:paraId="21624F67" w14:textId="20CD7166" w:rsidR="001A4DE8" w:rsidRPr="008070DB" w:rsidRDefault="00C76A7C" w:rsidP="003456B0">
            <w:pPr>
              <w:pStyle w:val="Default"/>
              <w:tabs>
                <w:tab w:val="left" w:pos="272"/>
              </w:tabs>
              <w:jc w:val="both"/>
              <w:rPr>
                <w:rFonts w:ascii="Times New Roman" w:hAnsi="Times New Roman" w:cs="Times New Roman"/>
                <w:sz w:val="18"/>
                <w:szCs w:val="18"/>
              </w:rPr>
            </w:pPr>
            <w:r w:rsidRPr="008070DB">
              <w:rPr>
                <w:rFonts w:ascii="Times New Roman" w:hAnsi="Times New Roman" w:cs="Times New Roman"/>
                <w:b/>
                <w:bCs/>
                <w:sz w:val="18"/>
                <w:szCs w:val="18"/>
              </w:rPr>
              <w:t>8</w:t>
            </w:r>
            <w:r w:rsidR="00713A0D" w:rsidRPr="008070DB">
              <w:rPr>
                <w:rFonts w:ascii="Times New Roman" w:hAnsi="Times New Roman" w:cs="Times New Roman"/>
                <w:b/>
                <w:bCs/>
                <w:sz w:val="18"/>
                <w:szCs w:val="18"/>
              </w:rPr>
              <w:t>9.</w:t>
            </w:r>
            <w:r w:rsidR="00713A0D" w:rsidRPr="008070DB">
              <w:rPr>
                <w:rFonts w:ascii="Times New Roman" w:hAnsi="Times New Roman" w:cs="Times New Roman"/>
                <w:sz w:val="18"/>
                <w:szCs w:val="18"/>
              </w:rPr>
              <w:tab/>
              <w:t xml:space="preserve">În sensul punctelor </w:t>
            </w:r>
            <w:r w:rsidRPr="008070DB">
              <w:rPr>
                <w:rFonts w:ascii="Times New Roman" w:hAnsi="Times New Roman" w:cs="Times New Roman"/>
                <w:sz w:val="18"/>
                <w:szCs w:val="18"/>
              </w:rPr>
              <w:t>6</w:t>
            </w:r>
            <w:r w:rsidR="00713A0D" w:rsidRPr="008070DB">
              <w:rPr>
                <w:rFonts w:ascii="Times New Roman" w:hAnsi="Times New Roman" w:cs="Times New Roman"/>
                <w:sz w:val="18"/>
                <w:szCs w:val="18"/>
              </w:rPr>
              <w:t>6-</w:t>
            </w:r>
            <w:r w:rsidRPr="008070DB">
              <w:rPr>
                <w:rFonts w:ascii="Times New Roman" w:hAnsi="Times New Roman" w:cs="Times New Roman"/>
                <w:sz w:val="18"/>
                <w:szCs w:val="18"/>
              </w:rPr>
              <w:t>6</w:t>
            </w:r>
            <w:r w:rsidR="00713A0D" w:rsidRPr="008070DB">
              <w:rPr>
                <w:rFonts w:ascii="Times New Roman" w:hAnsi="Times New Roman" w:cs="Times New Roman"/>
                <w:sz w:val="18"/>
                <w:szCs w:val="18"/>
              </w:rPr>
              <w:t>8, băncile calculează majorarea aferentă categoriei de risc privind titlurile</w:t>
            </w:r>
            <w:r w:rsidR="00713A0D" w:rsidRPr="008070DB">
              <w:rPr>
                <w:rFonts w:ascii="Times New Roman" w:hAnsi="Times New Roman" w:cs="Times New Roman"/>
                <w:b/>
                <w:bCs/>
                <w:sz w:val="18"/>
                <w:szCs w:val="18"/>
              </w:rPr>
              <w:t xml:space="preserve"> </w:t>
            </w:r>
            <w:r w:rsidR="00713A0D" w:rsidRPr="008070DB">
              <w:rPr>
                <w:rFonts w:ascii="Times New Roman" w:hAnsi="Times New Roman" w:cs="Times New Roman"/>
                <w:sz w:val="18"/>
                <w:szCs w:val="18"/>
              </w:rPr>
              <w:t>de capital pentru un anumit set de compensare după cum urmează:</w:t>
            </w:r>
            <w:r w:rsidR="00713A0D" w:rsidRPr="008070DB">
              <w:rPr>
                <w:rFonts w:ascii="Times New Roman" w:hAnsi="Times New Roman" w:cs="Times New Roman"/>
                <w:b/>
                <w:bCs/>
                <w:sz w:val="18"/>
                <w:szCs w:val="18"/>
              </w:rPr>
              <w:t xml:space="preserve"> </w:t>
            </w:r>
            <w:r w:rsidR="001A4DE8" w:rsidRPr="008070DB">
              <w:rPr>
                <w:rFonts w:ascii="Times New Roman" w:hAnsi="Times New Roman" w:cs="Times New Roman"/>
                <w:noProof/>
                <w:sz w:val="18"/>
                <w:szCs w:val="18"/>
              </w:rPr>
              <w:drawing>
                <wp:inline distT="0" distB="0" distL="0" distR="0" wp14:anchorId="2520E4D4" wp14:editId="79F74CCA">
                  <wp:extent cx="2587337" cy="342900"/>
                  <wp:effectExtent l="0" t="0" r="3810" b="0"/>
                  <wp:docPr id="874477176" name="Picture 874477176" descr="A mathematical equation with a equal sign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15979" name="Picture 41" descr="A mathematical equation with a equal sign  Description automatically generated with medium confidenc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49787" cy="351177"/>
                          </a:xfrm>
                          <a:prstGeom prst="rect">
                            <a:avLst/>
                          </a:prstGeom>
                          <a:noFill/>
                        </pic:spPr>
                      </pic:pic>
                    </a:graphicData>
                  </a:graphic>
                </wp:inline>
              </w:drawing>
            </w:r>
          </w:p>
          <w:p w14:paraId="538CF6F0" w14:textId="77777777" w:rsidR="001A4DE8" w:rsidRPr="008070DB" w:rsidRDefault="001A4DE8" w:rsidP="003456B0">
            <w:pPr>
              <w:pStyle w:val="Default"/>
              <w:tabs>
                <w:tab w:val="left" w:pos="272"/>
              </w:tabs>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61EA2AD4" w14:textId="77777777" w:rsidR="001A4DE8" w:rsidRPr="008070DB" w:rsidRDefault="001A4DE8" w:rsidP="003456B0">
            <w:pPr>
              <w:pStyle w:val="Default"/>
              <w:tabs>
                <w:tab w:val="left" w:pos="272"/>
              </w:tabs>
              <w:jc w:val="both"/>
              <w:rPr>
                <w:rFonts w:ascii="Times New Roman" w:hAnsi="Times New Roman" w:cs="Times New Roman"/>
                <w:sz w:val="18"/>
                <w:szCs w:val="18"/>
              </w:rPr>
            </w:pPr>
            <w:r w:rsidRPr="008070DB">
              <w:rPr>
                <w:rFonts w:ascii="Times New Roman" w:hAnsi="Times New Roman" w:cs="Times New Roman"/>
                <w:sz w:val="18"/>
                <w:szCs w:val="18"/>
              </w:rPr>
              <w:t xml:space="preserve">AddOn </w:t>
            </w:r>
            <w:r w:rsidRPr="008070DB">
              <w:rPr>
                <w:rFonts w:ascii="Times New Roman" w:hAnsi="Times New Roman" w:cs="Times New Roman"/>
                <w:sz w:val="18"/>
                <w:szCs w:val="18"/>
                <w:vertAlign w:val="superscript"/>
              </w:rPr>
              <w:t>Titluri de capital</w:t>
            </w:r>
            <w:r w:rsidRPr="008070DB">
              <w:rPr>
                <w:rFonts w:ascii="Times New Roman" w:hAnsi="Times New Roman" w:cs="Times New Roman"/>
                <w:sz w:val="18"/>
                <w:szCs w:val="18"/>
              </w:rPr>
              <w:t xml:space="preserve"> = majorarea aferentă categoriei de risc privind titlurile de </w:t>
            </w:r>
            <w:proofErr w:type="gramStart"/>
            <w:r w:rsidRPr="008070DB">
              <w:rPr>
                <w:rFonts w:ascii="Times New Roman" w:hAnsi="Times New Roman" w:cs="Times New Roman"/>
                <w:sz w:val="18"/>
                <w:szCs w:val="18"/>
              </w:rPr>
              <w:t>capital;</w:t>
            </w:r>
            <w:proofErr w:type="gramEnd"/>
            <w:r w:rsidRPr="008070DB">
              <w:rPr>
                <w:rFonts w:ascii="Times New Roman" w:hAnsi="Times New Roman" w:cs="Times New Roman"/>
                <w:sz w:val="18"/>
                <w:szCs w:val="18"/>
              </w:rPr>
              <w:t xml:space="preserve"> </w:t>
            </w:r>
          </w:p>
          <w:p w14:paraId="6F79F874" w14:textId="41384CB3" w:rsidR="001A4DE8" w:rsidRPr="008070DB" w:rsidRDefault="001A4DE8" w:rsidP="003456B0">
            <w:pPr>
              <w:pStyle w:val="Default"/>
              <w:tabs>
                <w:tab w:val="left" w:pos="272"/>
              </w:tabs>
              <w:jc w:val="both"/>
              <w:rPr>
                <w:rFonts w:ascii="Times New Roman" w:hAnsi="Times New Roman" w:cs="Times New Roman"/>
                <w:sz w:val="18"/>
                <w:szCs w:val="18"/>
              </w:rPr>
            </w:pPr>
            <w:r w:rsidRPr="008070DB">
              <w:rPr>
                <w:rFonts w:ascii="Times New Roman" w:hAnsi="Times New Roman" w:cs="Times New Roman"/>
                <w:sz w:val="18"/>
                <w:szCs w:val="18"/>
              </w:rPr>
              <w:t xml:space="preserve">j = indicele care desemnează toate seturile de acoperire a riscului privind titlurile de capital stabilite în conformitate cu punctul </w:t>
            </w:r>
            <w:r w:rsidR="00C76A7C" w:rsidRPr="008070DB">
              <w:rPr>
                <w:rFonts w:ascii="Times New Roman" w:hAnsi="Times New Roman" w:cs="Times New Roman"/>
                <w:sz w:val="18"/>
                <w:szCs w:val="18"/>
              </w:rPr>
              <w:t>5</w:t>
            </w:r>
            <w:r w:rsidR="00713A0D" w:rsidRPr="008070DB">
              <w:rPr>
                <w:rFonts w:ascii="Times New Roman" w:hAnsi="Times New Roman" w:cs="Times New Roman"/>
                <w:sz w:val="18"/>
                <w:szCs w:val="18"/>
              </w:rPr>
              <w:t>9</w:t>
            </w:r>
            <w:r w:rsidR="001B73D6" w:rsidRPr="008070DB">
              <w:rPr>
                <w:rFonts w:ascii="Times New Roman" w:hAnsi="Times New Roman" w:cs="Times New Roman"/>
                <w:sz w:val="18"/>
                <w:szCs w:val="18"/>
              </w:rPr>
              <w:t xml:space="preserve"> subpunctul </w:t>
            </w:r>
            <w:r w:rsidR="00C76A7C" w:rsidRPr="008070DB">
              <w:rPr>
                <w:rFonts w:ascii="Times New Roman" w:hAnsi="Times New Roman" w:cs="Times New Roman"/>
                <w:sz w:val="18"/>
                <w:szCs w:val="18"/>
              </w:rPr>
              <w:t>5</w:t>
            </w:r>
            <w:r w:rsidR="00713A0D" w:rsidRPr="008070DB">
              <w:rPr>
                <w:rFonts w:ascii="Times New Roman" w:hAnsi="Times New Roman" w:cs="Times New Roman"/>
                <w:sz w:val="18"/>
                <w:szCs w:val="18"/>
              </w:rPr>
              <w:t>9</w:t>
            </w:r>
            <w:r w:rsidR="001B73D6" w:rsidRPr="008070DB">
              <w:rPr>
                <w:rFonts w:ascii="Times New Roman" w:hAnsi="Times New Roman" w:cs="Times New Roman"/>
                <w:sz w:val="18"/>
                <w:szCs w:val="18"/>
              </w:rPr>
              <w:t>.4.</w:t>
            </w:r>
            <w:r w:rsidRPr="008070DB">
              <w:rPr>
                <w:rFonts w:ascii="Times New Roman" w:hAnsi="Times New Roman" w:cs="Times New Roman"/>
                <w:sz w:val="18"/>
                <w:szCs w:val="18"/>
              </w:rPr>
              <w:t xml:space="preserve"> și cu punctele </w:t>
            </w:r>
            <w:r w:rsidR="00C76A7C" w:rsidRPr="008070DB">
              <w:rPr>
                <w:rFonts w:ascii="Times New Roman" w:hAnsi="Times New Roman" w:cs="Times New Roman"/>
                <w:sz w:val="18"/>
                <w:szCs w:val="18"/>
              </w:rPr>
              <w:t>6</w:t>
            </w:r>
            <w:r w:rsidR="00713A0D" w:rsidRPr="008070DB">
              <w:rPr>
                <w:rFonts w:ascii="Times New Roman" w:hAnsi="Times New Roman" w:cs="Times New Roman"/>
                <w:sz w:val="18"/>
                <w:szCs w:val="18"/>
              </w:rPr>
              <w:t>1</w:t>
            </w:r>
            <w:r w:rsidR="001B73D6" w:rsidRPr="008070DB">
              <w:rPr>
                <w:rFonts w:ascii="Times New Roman" w:hAnsi="Times New Roman" w:cs="Times New Roman"/>
                <w:sz w:val="18"/>
                <w:szCs w:val="18"/>
              </w:rPr>
              <w:t>-</w:t>
            </w:r>
            <w:r w:rsidR="00C76A7C" w:rsidRPr="008070DB">
              <w:rPr>
                <w:rFonts w:ascii="Times New Roman" w:hAnsi="Times New Roman" w:cs="Times New Roman"/>
                <w:sz w:val="18"/>
                <w:szCs w:val="18"/>
              </w:rPr>
              <w:t>6</w:t>
            </w:r>
            <w:r w:rsidR="00713A0D" w:rsidRPr="008070DB">
              <w:rPr>
                <w:rFonts w:ascii="Times New Roman" w:hAnsi="Times New Roman" w:cs="Times New Roman"/>
                <w:sz w:val="18"/>
                <w:szCs w:val="18"/>
              </w:rPr>
              <w:t>4</w:t>
            </w:r>
            <w:r w:rsidRPr="008070DB">
              <w:rPr>
                <w:rFonts w:ascii="Times New Roman" w:hAnsi="Times New Roman" w:cs="Times New Roman"/>
                <w:sz w:val="18"/>
                <w:szCs w:val="18"/>
              </w:rPr>
              <w:t xml:space="preserve"> pentru setul de compensare; și </w:t>
            </w:r>
          </w:p>
          <w:p w14:paraId="353D7A7E" w14:textId="78F705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1F49CEEE" wp14:editId="6D944983">
                  <wp:extent cx="1337094" cy="260191"/>
                  <wp:effectExtent l="0" t="0" r="0" b="6985"/>
                  <wp:docPr id="435708002" name="Picture 435708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356210" cy="263911"/>
                          </a:xfrm>
                          <a:prstGeom prst="rect">
                            <a:avLst/>
                          </a:prstGeom>
                          <a:noFill/>
                        </pic:spPr>
                      </pic:pic>
                    </a:graphicData>
                  </a:graphic>
                </wp:inline>
              </w:drawing>
            </w:r>
            <w:r w:rsidRPr="008070DB">
              <w:rPr>
                <w:rFonts w:ascii="Times New Roman" w:hAnsi="Times New Roman" w:cs="Times New Roman"/>
                <w:sz w:val="18"/>
                <w:szCs w:val="18"/>
              </w:rPr>
              <w:t xml:space="preserve">= majorarea aferentă categoriei de risc privind titlurile de capital pentru setul de acoperire a riscului j calculat în conformitate cu punctul </w:t>
            </w:r>
            <w:r w:rsidR="00A67224" w:rsidRPr="008070DB">
              <w:rPr>
                <w:rFonts w:ascii="Times New Roman" w:hAnsi="Times New Roman" w:cs="Times New Roman"/>
                <w:sz w:val="18"/>
                <w:szCs w:val="18"/>
              </w:rPr>
              <w:t>90</w:t>
            </w:r>
            <w:r w:rsidRPr="008070DB">
              <w:rPr>
                <w:rFonts w:ascii="Times New Roman" w:hAnsi="Times New Roman" w:cs="Times New Roman"/>
                <w:sz w:val="18"/>
                <w:szCs w:val="18"/>
              </w:rPr>
              <w:t>.</w:t>
            </w:r>
          </w:p>
          <w:p w14:paraId="12911376" w14:textId="703AC95E" w:rsidR="001A4DE8" w:rsidRPr="008070DB" w:rsidRDefault="00A67224"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w:t>
            </w:r>
            <w:r w:rsidR="00713A0D" w:rsidRPr="008070DB">
              <w:rPr>
                <w:rFonts w:ascii="Times New Roman" w:hAnsi="Times New Roman" w:cs="Times New Roman"/>
                <w:b/>
                <w:bCs/>
                <w:sz w:val="18"/>
                <w:szCs w:val="18"/>
              </w:rPr>
              <w:t>0</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Băncile calculează majorarea aferentă categoriei de risc privind titlurile de capital pentru setul de acoperire a riscului j după cum urmează: </w:t>
            </w:r>
          </w:p>
          <w:p w14:paraId="62A4479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r w:rsidRPr="008070DB">
              <w:rPr>
                <w:rFonts w:ascii="Times New Roman" w:hAnsi="Times New Roman" w:cs="Times New Roman"/>
                <w:noProof/>
                <w:sz w:val="18"/>
                <w:szCs w:val="18"/>
              </w:rPr>
              <w:drawing>
                <wp:inline distT="0" distB="0" distL="0" distR="0" wp14:anchorId="6CD52A9C" wp14:editId="48D0A4F9">
                  <wp:extent cx="2308860" cy="428625"/>
                  <wp:effectExtent l="0" t="0" r="0" b="9525"/>
                  <wp:docPr id="659299679" name="Picture 659299679" descr="A close-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34082" name="Picture 43" descr="A close-up of a sign  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21258" cy="468055"/>
                          </a:xfrm>
                          <a:prstGeom prst="rect">
                            <a:avLst/>
                          </a:prstGeom>
                          <a:noFill/>
                        </pic:spPr>
                      </pic:pic>
                    </a:graphicData>
                  </a:graphic>
                </wp:inline>
              </w:drawing>
            </w:r>
          </w:p>
          <w:p w14:paraId="535C699D"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1B4C977C"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r w:rsidRPr="008070DB">
              <w:rPr>
                <w:rFonts w:ascii="Times New Roman" w:hAnsi="Times New Roman" w:cs="Times New Roman"/>
                <w:noProof/>
                <w:sz w:val="18"/>
                <w:szCs w:val="18"/>
              </w:rPr>
              <w:drawing>
                <wp:inline distT="0" distB="0" distL="0" distR="0" wp14:anchorId="0755B981" wp14:editId="7EBA438E">
                  <wp:extent cx="1335405" cy="262255"/>
                  <wp:effectExtent l="0" t="0" r="0" b="4445"/>
                  <wp:docPr id="939653298" name="Picture 93965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35405" cy="262255"/>
                          </a:xfrm>
                          <a:prstGeom prst="rect">
                            <a:avLst/>
                          </a:prstGeom>
                          <a:noFill/>
                        </pic:spPr>
                      </pic:pic>
                    </a:graphicData>
                  </a:graphic>
                </wp:inline>
              </w:drawing>
            </w:r>
            <w:r w:rsidRPr="008070DB">
              <w:rPr>
                <w:rFonts w:ascii="Times New Roman" w:hAnsi="Times New Roman" w:cs="Times New Roman"/>
                <w:sz w:val="18"/>
                <w:szCs w:val="18"/>
              </w:rPr>
              <w:t xml:space="preserve"> = majorarea aferentă categoriei de risc privind titlurile de capital pentru setul de acoperire a riscului </w:t>
            </w:r>
            <w:proofErr w:type="gramStart"/>
            <w:r w:rsidRPr="008070DB">
              <w:rPr>
                <w:rFonts w:ascii="Times New Roman" w:hAnsi="Times New Roman" w:cs="Times New Roman"/>
                <w:sz w:val="18"/>
                <w:szCs w:val="18"/>
              </w:rPr>
              <w:t>j;</w:t>
            </w:r>
            <w:proofErr w:type="gramEnd"/>
            <w:r w:rsidRPr="008070DB">
              <w:rPr>
                <w:rFonts w:ascii="Times New Roman" w:hAnsi="Times New Roman" w:cs="Times New Roman"/>
                <w:sz w:val="18"/>
                <w:szCs w:val="18"/>
              </w:rPr>
              <w:t xml:space="preserve"> </w:t>
            </w:r>
          </w:p>
          <w:p w14:paraId="645C35A7" w14:textId="749F9EFE" w:rsidR="001A4DE8" w:rsidRPr="008070DB" w:rsidRDefault="001A4DE8" w:rsidP="003456B0">
            <w:pPr>
              <w:jc w:val="both"/>
              <w:rPr>
                <w:rFonts w:eastAsiaTheme="minorHAnsi"/>
                <w:color w:val="000000"/>
                <w:sz w:val="18"/>
                <w:szCs w:val="18"/>
                <w:lang w:val="ro-MD" w:eastAsia="en-US"/>
                <w14:ligatures w14:val="standardContextual"/>
              </w:rPr>
            </w:pPr>
            <w:r w:rsidRPr="008070DB">
              <w:rPr>
                <w:sz w:val="18"/>
                <w:szCs w:val="18"/>
              </w:rPr>
              <w:t>є</w:t>
            </w:r>
            <w:r w:rsidRPr="008070DB">
              <w:rPr>
                <w:sz w:val="18"/>
                <w:szCs w:val="18"/>
                <w:lang w:val="en-US"/>
              </w:rPr>
              <w:t xml:space="preserve">j = </w:t>
            </w:r>
            <w:r w:rsidRPr="008070DB">
              <w:rPr>
                <w:rFonts w:eastAsiaTheme="minorHAnsi"/>
                <w:color w:val="000000"/>
                <w:sz w:val="18"/>
                <w:szCs w:val="18"/>
                <w:lang w:val="ro-MD" w:eastAsia="en-US"/>
                <w14:ligatures w14:val="standardContextual"/>
              </w:rPr>
              <w:t xml:space="preserve">coeficientul factorului impus de Banca Națională a Moldovei aferent setului de acoperire a riscului pentru setul de acoperire a riscului j determinat în conformitate cu punctul </w:t>
            </w:r>
            <w:r w:rsidR="00A67224" w:rsidRPr="008070DB">
              <w:rPr>
                <w:rFonts w:eastAsiaTheme="minorHAnsi"/>
                <w:color w:val="000000"/>
                <w:sz w:val="18"/>
                <w:szCs w:val="18"/>
                <w:lang w:val="ro-MD" w:eastAsia="en-US"/>
                <w14:ligatures w14:val="standardContextual"/>
              </w:rPr>
              <w:t>7</w:t>
            </w:r>
            <w:r w:rsidR="00713A0D" w:rsidRPr="008070DB">
              <w:rPr>
                <w:rFonts w:eastAsiaTheme="minorHAnsi"/>
                <w:color w:val="000000"/>
                <w:sz w:val="18"/>
                <w:szCs w:val="18"/>
                <w:lang w:val="ro-MD" w:eastAsia="en-US"/>
                <w14:ligatures w14:val="standardContextual"/>
              </w:rPr>
              <w:t>7</w:t>
            </w:r>
            <w:r w:rsidRPr="008070DB">
              <w:rPr>
                <w:rFonts w:eastAsiaTheme="minorHAnsi"/>
                <w:color w:val="000000"/>
                <w:sz w:val="18"/>
                <w:szCs w:val="18"/>
                <w:lang w:val="ro-MD" w:eastAsia="en-US"/>
                <w14:ligatures w14:val="standardContextual"/>
              </w:rPr>
              <w:t xml:space="preserve">; </w:t>
            </w:r>
          </w:p>
          <w:p w14:paraId="40833E0E" w14:textId="58E8BBF7" w:rsidR="001A4DE8" w:rsidRPr="008070DB" w:rsidRDefault="001A4DE8"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color w:val="000000"/>
                <w:sz w:val="18"/>
                <w:szCs w:val="18"/>
                <w:lang w:val="ro-MD" w:eastAsia="en-US"/>
                <w14:ligatures w14:val="standardContextual"/>
              </w:rPr>
              <w:t xml:space="preserve">k = indicele care desemnează entităţile de referinţă privind titlurile de capital ale setului de compensare stabilit în conformitate cu punctul </w:t>
            </w:r>
            <w:r w:rsidR="00A67224" w:rsidRPr="008070DB">
              <w:rPr>
                <w:rFonts w:eastAsiaTheme="minorHAnsi"/>
                <w:color w:val="000000"/>
                <w:sz w:val="18"/>
                <w:szCs w:val="18"/>
                <w:lang w:val="ro-MD" w:eastAsia="en-US"/>
                <w14:ligatures w14:val="standardContextual"/>
              </w:rPr>
              <w:t>8</w:t>
            </w:r>
            <w:r w:rsidR="00713A0D" w:rsidRPr="008070DB">
              <w:rPr>
                <w:rFonts w:eastAsiaTheme="minorHAnsi"/>
                <w:color w:val="000000"/>
                <w:sz w:val="18"/>
                <w:szCs w:val="18"/>
                <w:lang w:val="ro-MD" w:eastAsia="en-US"/>
                <w14:ligatures w14:val="standardContextual"/>
              </w:rPr>
              <w:t>8</w:t>
            </w:r>
            <w:r w:rsidRPr="008070DB">
              <w:rPr>
                <w:rFonts w:eastAsiaTheme="minorHAnsi"/>
                <w:color w:val="000000"/>
                <w:sz w:val="18"/>
                <w:szCs w:val="18"/>
                <w:lang w:val="ro-MD" w:eastAsia="en-US"/>
                <w14:ligatures w14:val="standardContextual"/>
              </w:rPr>
              <w:t xml:space="preserve">; </w:t>
            </w:r>
          </w:p>
          <w:p w14:paraId="05F078A1" w14:textId="27E3383C"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4ABE998B" wp14:editId="0D154630">
                  <wp:extent cx="974785" cy="256193"/>
                  <wp:effectExtent l="0" t="0" r="0" b="0"/>
                  <wp:docPr id="671871670" name="Picture 67187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20171" cy="268121"/>
                          </a:xfrm>
                          <a:prstGeom prst="rect">
                            <a:avLst/>
                          </a:prstGeom>
                          <a:noFill/>
                        </pic:spPr>
                      </pic:pic>
                    </a:graphicData>
                  </a:graphic>
                </wp:inline>
              </w:drawing>
            </w:r>
            <w:r w:rsidRPr="008070DB">
              <w:rPr>
                <w:rFonts w:ascii="Times New Roman" w:hAnsi="Times New Roman" w:cs="Times New Roman"/>
                <w:sz w:val="18"/>
                <w:szCs w:val="18"/>
              </w:rPr>
              <w:t xml:space="preserve">= factorul de corelare al entităţii de referinţă privind titlurile de capital k. În cazul în care entitatea de referinţă privind titlurile de capital k a fost stabilită în conformitate cu punctul </w:t>
            </w:r>
            <w:r w:rsidR="00A67224" w:rsidRPr="008070DB">
              <w:rPr>
                <w:rFonts w:ascii="Times New Roman" w:hAnsi="Times New Roman" w:cs="Times New Roman"/>
                <w:sz w:val="18"/>
                <w:szCs w:val="18"/>
              </w:rPr>
              <w:t>8</w:t>
            </w:r>
            <w:r w:rsidR="009C4EAD" w:rsidRPr="008070DB">
              <w:rPr>
                <w:rFonts w:ascii="Times New Roman" w:hAnsi="Times New Roman" w:cs="Times New Roman"/>
                <w:sz w:val="18"/>
                <w:szCs w:val="18"/>
              </w:rPr>
              <w:t xml:space="preserve">8 subpunctul </w:t>
            </w:r>
            <w:r w:rsidR="00A67224" w:rsidRPr="008070DB">
              <w:rPr>
                <w:rFonts w:ascii="Times New Roman" w:hAnsi="Times New Roman" w:cs="Times New Roman"/>
                <w:sz w:val="18"/>
                <w:szCs w:val="18"/>
              </w:rPr>
              <w:t>8</w:t>
            </w:r>
            <w:r w:rsidR="009C4EAD" w:rsidRPr="008070DB">
              <w:rPr>
                <w:rFonts w:ascii="Times New Roman" w:hAnsi="Times New Roman" w:cs="Times New Roman"/>
                <w:sz w:val="18"/>
                <w:szCs w:val="18"/>
              </w:rPr>
              <w:t>8.1.</w:t>
            </w:r>
            <w:r w:rsidRPr="008070DB">
              <w:rPr>
                <w:rFonts w:ascii="Times New Roman" w:hAnsi="Times New Roman" w:cs="Times New Roman"/>
                <w:sz w:val="18"/>
                <w:szCs w:val="18"/>
              </w:rPr>
              <w:t xml:space="preserve">, </w:t>
            </w:r>
          </w:p>
          <w:p w14:paraId="75506E4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04324701" wp14:editId="17DAA13F">
                  <wp:extent cx="1604513" cy="278669"/>
                  <wp:effectExtent l="0" t="0" r="0" b="7620"/>
                  <wp:docPr id="680061692" name="Picture 68006169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image"/>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28835" cy="282893"/>
                          </a:xfrm>
                          <a:prstGeom prst="rect">
                            <a:avLst/>
                          </a:prstGeom>
                          <a:noFill/>
                          <a:ln>
                            <a:noFill/>
                          </a:ln>
                        </pic:spPr>
                      </pic:pic>
                    </a:graphicData>
                  </a:graphic>
                </wp:inline>
              </w:drawing>
            </w:r>
          </w:p>
          <w:p w14:paraId="29A3D065" w14:textId="52F11B08"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lastRenderedPageBreak/>
              <w:t>8</w:t>
            </w:r>
            <w:r w:rsidR="003A16A0" w:rsidRPr="008070DB">
              <w:rPr>
                <w:rFonts w:ascii="Times New Roman" w:hAnsi="Times New Roman" w:cs="Times New Roman"/>
                <w:b/>
                <w:bCs/>
                <w:sz w:val="18"/>
                <w:szCs w:val="18"/>
              </w:rPr>
              <w:t>9</w:t>
            </w:r>
            <w:r w:rsidRPr="008070DB">
              <w:rPr>
                <w:rFonts w:ascii="Times New Roman" w:hAnsi="Times New Roman" w:cs="Times New Roman"/>
                <w:b/>
                <w:bCs/>
                <w:sz w:val="18"/>
                <w:szCs w:val="18"/>
              </w:rPr>
              <w:t>.</w:t>
            </w:r>
            <w:r w:rsidRPr="008070DB">
              <w:rPr>
                <w:rFonts w:ascii="Times New Roman" w:hAnsi="Times New Roman" w:cs="Times New Roman"/>
                <w:sz w:val="18"/>
                <w:szCs w:val="18"/>
              </w:rPr>
              <w:t xml:space="preserve"> În cazul în care entitatea de referinţă privind titlurile de capital k a fost stabilită în conformitate cu </w:t>
            </w:r>
            <w:r w:rsidR="009C4EAD" w:rsidRPr="008070DB">
              <w:rPr>
                <w:rFonts w:ascii="Times New Roman" w:hAnsi="Times New Roman" w:cs="Times New Roman"/>
                <w:sz w:val="18"/>
                <w:szCs w:val="18"/>
              </w:rPr>
              <w:t xml:space="preserve">punctul </w:t>
            </w:r>
            <w:r w:rsidR="00A67224" w:rsidRPr="008070DB">
              <w:rPr>
                <w:rFonts w:ascii="Times New Roman" w:hAnsi="Times New Roman" w:cs="Times New Roman"/>
                <w:sz w:val="18"/>
                <w:szCs w:val="18"/>
              </w:rPr>
              <w:t>8</w:t>
            </w:r>
            <w:r w:rsidR="009C4EAD" w:rsidRPr="008070DB">
              <w:rPr>
                <w:rFonts w:ascii="Times New Roman" w:hAnsi="Times New Roman" w:cs="Times New Roman"/>
                <w:sz w:val="18"/>
                <w:szCs w:val="18"/>
              </w:rPr>
              <w:t xml:space="preserve">8 subpunctul </w:t>
            </w:r>
            <w:r w:rsidR="00A67224" w:rsidRPr="008070DB">
              <w:rPr>
                <w:rFonts w:ascii="Times New Roman" w:hAnsi="Times New Roman" w:cs="Times New Roman"/>
                <w:sz w:val="18"/>
                <w:szCs w:val="18"/>
              </w:rPr>
              <w:t>8</w:t>
            </w:r>
            <w:r w:rsidR="009C4EAD" w:rsidRPr="008070DB">
              <w:rPr>
                <w:rFonts w:ascii="Times New Roman" w:hAnsi="Times New Roman" w:cs="Times New Roman"/>
                <w:sz w:val="18"/>
                <w:szCs w:val="18"/>
              </w:rPr>
              <w:t>8.2.,</w:t>
            </w:r>
          </w:p>
          <w:p w14:paraId="0C7E7F7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3968A3FC" wp14:editId="7E67D9ED">
                  <wp:extent cx="1500996" cy="261876"/>
                  <wp:effectExtent l="0" t="0" r="4445" b="5080"/>
                  <wp:docPr id="1464466042" name="Picture 146446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31593" cy="267214"/>
                          </a:xfrm>
                          <a:prstGeom prst="rect">
                            <a:avLst/>
                          </a:prstGeom>
                          <a:noFill/>
                        </pic:spPr>
                      </pic:pic>
                    </a:graphicData>
                  </a:graphic>
                </wp:inline>
              </w:drawing>
            </w:r>
            <w:r w:rsidRPr="008070DB">
              <w:rPr>
                <w:rFonts w:ascii="Times New Roman" w:hAnsi="Times New Roman" w:cs="Times New Roman"/>
                <w:sz w:val="18"/>
                <w:szCs w:val="18"/>
              </w:rPr>
              <w:t xml:space="preserve">; și </w:t>
            </w:r>
          </w:p>
          <w:p w14:paraId="6BEDE594" w14:textId="6451CDDA" w:rsidR="001A4DE8" w:rsidRPr="008070DB" w:rsidRDefault="001A4DE8" w:rsidP="003456B0">
            <w:pPr>
              <w:pStyle w:val="Default"/>
              <w:jc w:val="both"/>
              <w:rPr>
                <w:rFonts w:ascii="Times New Roman" w:hAnsi="Times New Roman" w:cs="Times New Roman"/>
                <w:sz w:val="18"/>
                <w:szCs w:val="18"/>
              </w:rPr>
            </w:pPr>
            <w:proofErr w:type="gramStart"/>
            <w:r w:rsidRPr="008070DB">
              <w:rPr>
                <w:rFonts w:ascii="Times New Roman" w:hAnsi="Times New Roman" w:cs="Times New Roman"/>
                <w:sz w:val="18"/>
                <w:szCs w:val="18"/>
              </w:rPr>
              <w:t>AddOn(Entitatek )</w:t>
            </w:r>
            <w:proofErr w:type="gramEnd"/>
            <w:r w:rsidRPr="008070DB">
              <w:rPr>
                <w:rFonts w:ascii="Times New Roman" w:hAnsi="Times New Roman" w:cs="Times New Roman"/>
                <w:sz w:val="18"/>
                <w:szCs w:val="18"/>
              </w:rPr>
              <w:t xml:space="preserve"> = majorarea pentru entitatea de referinţă privind titlurile de capital k determinată în conformitate cu punctul </w:t>
            </w:r>
            <w:r w:rsidR="00A67224" w:rsidRPr="008070DB">
              <w:rPr>
                <w:rFonts w:ascii="Times New Roman" w:hAnsi="Times New Roman" w:cs="Times New Roman"/>
                <w:sz w:val="18"/>
                <w:szCs w:val="18"/>
              </w:rPr>
              <w:t>9</w:t>
            </w:r>
            <w:r w:rsidR="00713A0D" w:rsidRPr="008070DB">
              <w:rPr>
                <w:rFonts w:ascii="Times New Roman" w:hAnsi="Times New Roman" w:cs="Times New Roman"/>
                <w:sz w:val="18"/>
                <w:szCs w:val="18"/>
              </w:rPr>
              <w:t>1</w:t>
            </w:r>
            <w:r w:rsidRPr="008070DB">
              <w:rPr>
                <w:rFonts w:ascii="Times New Roman" w:hAnsi="Times New Roman" w:cs="Times New Roman"/>
                <w:sz w:val="18"/>
                <w:szCs w:val="18"/>
              </w:rPr>
              <w:t xml:space="preserve">. </w:t>
            </w:r>
          </w:p>
          <w:p w14:paraId="208D52AF" w14:textId="3BA7B849" w:rsidR="001A4DE8" w:rsidRPr="008070DB" w:rsidRDefault="00A67224"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w:t>
            </w:r>
            <w:r w:rsidR="00713A0D" w:rsidRPr="008070DB">
              <w:rPr>
                <w:rFonts w:ascii="Times New Roman" w:hAnsi="Times New Roman" w:cs="Times New Roman"/>
                <w:b/>
                <w:bCs/>
                <w:sz w:val="18"/>
                <w:szCs w:val="18"/>
              </w:rPr>
              <w:t>1</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Băncile calculează majorarea pentru entitatea de referinţă privind titlurile de capital k după cum urmează:</w:t>
            </w:r>
          </w:p>
          <w:p w14:paraId="68A9B70C"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1206210" wp14:editId="025F0184">
                  <wp:extent cx="2456797" cy="133350"/>
                  <wp:effectExtent l="0" t="0" r="1270" b="0"/>
                  <wp:docPr id="864782528" name="Picture 864782528"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60654" name="Picture 48" descr="A close up of a sign  Description automatically generated"/>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789149" cy="151389"/>
                          </a:xfrm>
                          <a:prstGeom prst="rect">
                            <a:avLst/>
                          </a:prstGeom>
                          <a:noFill/>
                        </pic:spPr>
                      </pic:pic>
                    </a:graphicData>
                  </a:graphic>
                </wp:inline>
              </w:drawing>
            </w:r>
          </w:p>
          <w:p w14:paraId="51E03F65"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w:t>
            </w:r>
          </w:p>
          <w:p w14:paraId="22ECDF15"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7436F6DA" w14:textId="77777777" w:rsidR="001A4DE8" w:rsidRPr="008070DB" w:rsidRDefault="001A4DE8" w:rsidP="003456B0">
            <w:pPr>
              <w:pStyle w:val="Default"/>
              <w:jc w:val="both"/>
              <w:rPr>
                <w:rFonts w:ascii="Times New Roman" w:hAnsi="Times New Roman" w:cs="Times New Roman"/>
                <w:sz w:val="18"/>
                <w:szCs w:val="18"/>
              </w:rPr>
            </w:pPr>
            <w:proofErr w:type="gramStart"/>
            <w:r w:rsidRPr="008070DB">
              <w:rPr>
                <w:rFonts w:ascii="Times New Roman" w:hAnsi="Times New Roman" w:cs="Times New Roman"/>
                <w:sz w:val="18"/>
                <w:szCs w:val="18"/>
              </w:rPr>
              <w:t>AddOn(Entitatek )</w:t>
            </w:r>
            <w:proofErr w:type="gramEnd"/>
            <w:r w:rsidRPr="008070DB">
              <w:rPr>
                <w:rFonts w:ascii="Times New Roman" w:hAnsi="Times New Roman" w:cs="Times New Roman"/>
                <w:sz w:val="18"/>
                <w:szCs w:val="18"/>
              </w:rPr>
              <w:t xml:space="preserve"> = majorarea pentru entitatea de referinţă privind titlurile de capital </w:t>
            </w:r>
            <w:proofErr w:type="gramStart"/>
            <w:r w:rsidRPr="008070DB">
              <w:rPr>
                <w:rFonts w:ascii="Times New Roman" w:hAnsi="Times New Roman" w:cs="Times New Roman"/>
                <w:sz w:val="18"/>
                <w:szCs w:val="18"/>
              </w:rPr>
              <w:t>k;</w:t>
            </w:r>
            <w:proofErr w:type="gramEnd"/>
            <w:r w:rsidRPr="008070DB">
              <w:rPr>
                <w:rFonts w:ascii="Times New Roman" w:hAnsi="Times New Roman" w:cs="Times New Roman"/>
                <w:sz w:val="18"/>
                <w:szCs w:val="18"/>
              </w:rPr>
              <w:t xml:space="preserve"> </w:t>
            </w:r>
          </w:p>
          <w:p w14:paraId="7BA8FB4F" w14:textId="6015A0EC" w:rsidR="001A4DE8" w:rsidRPr="008070DB" w:rsidRDefault="001A4DE8" w:rsidP="003456B0">
            <w:pPr>
              <w:jc w:val="both"/>
              <w:rPr>
                <w:rFonts w:eastAsiaTheme="minorHAnsi"/>
                <w:color w:val="000000"/>
                <w:sz w:val="18"/>
                <w:szCs w:val="18"/>
                <w:lang w:val="ro-MD" w:eastAsia="en-US"/>
                <w14:ligatures w14:val="standardContextual"/>
              </w:rPr>
            </w:pPr>
            <w:r w:rsidRPr="008070DB">
              <w:rPr>
                <w:noProof/>
                <w:sz w:val="18"/>
                <w:szCs w:val="18"/>
              </w:rPr>
              <w:drawing>
                <wp:inline distT="0" distB="0" distL="0" distR="0" wp14:anchorId="11C9E89E" wp14:editId="09EDA9B4">
                  <wp:extent cx="952577" cy="224287"/>
                  <wp:effectExtent l="0" t="0" r="0" b="4445"/>
                  <wp:docPr id="1790886303" name="Picture 179088630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imag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88988" cy="232860"/>
                          </a:xfrm>
                          <a:prstGeom prst="rect">
                            <a:avLst/>
                          </a:prstGeom>
                          <a:noFill/>
                          <a:ln>
                            <a:noFill/>
                          </a:ln>
                        </pic:spPr>
                      </pic:pic>
                    </a:graphicData>
                  </a:graphic>
                </wp:inline>
              </w:drawing>
            </w:r>
            <w:r w:rsidRPr="008070DB">
              <w:rPr>
                <w:sz w:val="18"/>
                <w:szCs w:val="18"/>
                <w:lang w:val="en-US"/>
              </w:rPr>
              <w:t xml:space="preserve">= </w:t>
            </w:r>
            <w:r w:rsidRPr="008070DB">
              <w:rPr>
                <w:rFonts w:eastAsiaTheme="minorHAnsi"/>
                <w:color w:val="000000"/>
                <w:sz w:val="18"/>
                <w:szCs w:val="18"/>
                <w:lang w:val="ro-MD" w:eastAsia="en-US"/>
                <w14:ligatures w14:val="standardContextual"/>
              </w:rPr>
              <w:t xml:space="preserve">factorul </w:t>
            </w:r>
            <w:r w:rsidR="005D754D" w:rsidRPr="008070DB">
              <w:rPr>
                <w:rFonts w:eastAsiaTheme="minorHAnsi"/>
                <w:color w:val="000000"/>
                <w:sz w:val="18"/>
                <w:szCs w:val="18"/>
                <w:lang w:val="ro-MD" w:eastAsia="en-US"/>
                <w14:ligatures w14:val="standardContextual"/>
              </w:rPr>
              <w:t>stabilit</w:t>
            </w:r>
            <w:r w:rsidRPr="008070DB">
              <w:rPr>
                <w:rFonts w:eastAsiaTheme="minorHAnsi"/>
                <w:color w:val="000000"/>
                <w:sz w:val="18"/>
                <w:szCs w:val="18"/>
                <w:lang w:val="ro-MD" w:eastAsia="en-US"/>
                <w14:ligatures w14:val="standardContextual"/>
              </w:rPr>
              <w:t xml:space="preserve"> de Banca Națională a Moldovei aplicabil entităţii de referinţă privind titlurile de capital k. În cazul în care entitatea de referinţă privind titlurile de capital k a fost stabilită în conformitate cu </w:t>
            </w:r>
            <w:r w:rsidR="005D754D" w:rsidRPr="008070DB">
              <w:rPr>
                <w:rFonts w:eastAsiaTheme="minorHAnsi"/>
                <w:color w:val="000000"/>
                <w:sz w:val="18"/>
                <w:szCs w:val="18"/>
                <w:lang w:val="en-US" w:eastAsia="en-US"/>
                <w14:ligatures w14:val="standardContextual"/>
              </w:rPr>
              <w:t xml:space="preserve">punctul </w:t>
            </w:r>
            <w:r w:rsidR="00A67224" w:rsidRPr="008070DB">
              <w:rPr>
                <w:rFonts w:eastAsiaTheme="minorHAnsi"/>
                <w:color w:val="000000"/>
                <w:sz w:val="18"/>
                <w:szCs w:val="18"/>
                <w:lang w:val="en-US" w:eastAsia="en-US"/>
                <w14:ligatures w14:val="standardContextual"/>
              </w:rPr>
              <w:t>8</w:t>
            </w:r>
            <w:r w:rsidR="00713A0D" w:rsidRPr="008070DB">
              <w:rPr>
                <w:rFonts w:eastAsiaTheme="minorHAnsi"/>
                <w:color w:val="000000"/>
                <w:sz w:val="18"/>
                <w:szCs w:val="18"/>
                <w:lang w:val="en-US" w:eastAsia="en-US"/>
                <w14:ligatures w14:val="standardContextual"/>
              </w:rPr>
              <w:t>8</w:t>
            </w:r>
            <w:r w:rsidR="005D754D" w:rsidRPr="008070DB">
              <w:rPr>
                <w:rFonts w:eastAsiaTheme="minorHAnsi"/>
                <w:color w:val="000000"/>
                <w:sz w:val="18"/>
                <w:szCs w:val="18"/>
                <w:lang w:val="en-US" w:eastAsia="en-US"/>
                <w14:ligatures w14:val="standardContextual"/>
              </w:rPr>
              <w:t xml:space="preserve"> subpunctul </w:t>
            </w:r>
            <w:r w:rsidR="00A67224" w:rsidRPr="008070DB">
              <w:rPr>
                <w:rFonts w:eastAsiaTheme="minorHAnsi"/>
                <w:color w:val="000000"/>
                <w:sz w:val="18"/>
                <w:szCs w:val="18"/>
                <w:lang w:val="en-US" w:eastAsia="en-US"/>
                <w14:ligatures w14:val="standardContextual"/>
              </w:rPr>
              <w:t>8</w:t>
            </w:r>
            <w:r w:rsidR="005D754D" w:rsidRPr="008070DB">
              <w:rPr>
                <w:rFonts w:eastAsiaTheme="minorHAnsi"/>
                <w:color w:val="000000"/>
                <w:sz w:val="18"/>
                <w:szCs w:val="18"/>
                <w:lang w:val="en-US" w:eastAsia="en-US"/>
                <w14:ligatures w14:val="standardContextual"/>
              </w:rPr>
              <w:t>8.1</w:t>
            </w:r>
            <w:r w:rsidR="00A2123C" w:rsidRPr="008070DB">
              <w:rPr>
                <w:rFonts w:eastAsiaTheme="minorHAnsi"/>
                <w:color w:val="000000"/>
                <w:sz w:val="18"/>
                <w:szCs w:val="18"/>
                <w:lang w:val="ro-MD" w:eastAsia="en-US"/>
                <w14:ligatures w14:val="standardContextual"/>
              </w:rPr>
              <w:t>.</w:t>
            </w:r>
            <w:r w:rsidRPr="008070DB">
              <w:rPr>
                <w:rFonts w:eastAsiaTheme="minorHAnsi"/>
                <w:color w:val="000000"/>
                <w:sz w:val="18"/>
                <w:szCs w:val="18"/>
                <w:lang w:val="ro-MD" w:eastAsia="en-US"/>
                <w14:ligatures w14:val="standardContextual"/>
              </w:rPr>
              <w:t xml:space="preserve">, </w:t>
            </w:r>
          </w:p>
          <w:p w14:paraId="1CBDF81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D9420A0" wp14:editId="36B489D8">
                  <wp:extent cx="1478696" cy="241540"/>
                  <wp:effectExtent l="0" t="0" r="7620" b="6350"/>
                  <wp:docPr id="672024481" name="Picture 67202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89469" cy="243300"/>
                          </a:xfrm>
                          <a:prstGeom prst="rect">
                            <a:avLst/>
                          </a:prstGeom>
                          <a:noFill/>
                        </pic:spPr>
                      </pic:pic>
                    </a:graphicData>
                  </a:graphic>
                </wp:inline>
              </w:drawing>
            </w:r>
          </w:p>
          <w:p w14:paraId="3EE45876" w14:textId="38CB6789"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în cazul în care entitatea de referinţă privind titlurile de capital k a fost stabilită în conformitate cu </w:t>
            </w:r>
            <w:r w:rsidR="005D754D" w:rsidRPr="008070DB">
              <w:rPr>
                <w:rFonts w:ascii="Times New Roman" w:hAnsi="Times New Roman" w:cs="Times New Roman"/>
                <w:sz w:val="18"/>
                <w:szCs w:val="18"/>
              </w:rPr>
              <w:t xml:space="preserve">punctul </w:t>
            </w:r>
            <w:r w:rsidR="00A67224" w:rsidRPr="008070DB">
              <w:rPr>
                <w:rFonts w:ascii="Times New Roman" w:hAnsi="Times New Roman" w:cs="Times New Roman"/>
                <w:sz w:val="18"/>
                <w:szCs w:val="18"/>
              </w:rPr>
              <w:t>8</w:t>
            </w:r>
            <w:r w:rsidR="00713A0D" w:rsidRPr="008070DB">
              <w:rPr>
                <w:rFonts w:ascii="Times New Roman" w:hAnsi="Times New Roman" w:cs="Times New Roman"/>
                <w:sz w:val="18"/>
                <w:szCs w:val="18"/>
              </w:rPr>
              <w:t>8</w:t>
            </w:r>
            <w:r w:rsidR="005D754D" w:rsidRPr="008070DB">
              <w:rPr>
                <w:rFonts w:ascii="Times New Roman" w:hAnsi="Times New Roman" w:cs="Times New Roman"/>
                <w:sz w:val="18"/>
                <w:szCs w:val="18"/>
              </w:rPr>
              <w:t xml:space="preserve"> subpunctul </w:t>
            </w:r>
            <w:r w:rsidR="00A67224" w:rsidRPr="008070DB">
              <w:rPr>
                <w:rFonts w:ascii="Times New Roman" w:hAnsi="Times New Roman" w:cs="Times New Roman"/>
                <w:sz w:val="18"/>
                <w:szCs w:val="18"/>
              </w:rPr>
              <w:t>8</w:t>
            </w:r>
            <w:r w:rsidR="005D754D" w:rsidRPr="008070DB">
              <w:rPr>
                <w:rFonts w:ascii="Times New Roman" w:hAnsi="Times New Roman" w:cs="Times New Roman"/>
                <w:sz w:val="18"/>
                <w:szCs w:val="18"/>
              </w:rPr>
              <w:t>8.2.</w:t>
            </w:r>
          </w:p>
          <w:p w14:paraId="59227E3B"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4718F6B7" wp14:editId="23BD9CC1">
                  <wp:extent cx="1725283" cy="281819"/>
                  <wp:effectExtent l="0" t="0" r="0" b="4445"/>
                  <wp:docPr id="921962034" name="Picture 92196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743547" cy="284802"/>
                          </a:xfrm>
                          <a:prstGeom prst="rect">
                            <a:avLst/>
                          </a:prstGeom>
                          <a:noFill/>
                        </pic:spPr>
                      </pic:pic>
                    </a:graphicData>
                  </a:graphic>
                </wp:inline>
              </w:drawing>
            </w:r>
          </w:p>
          <w:p w14:paraId="1B5195B2"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 și </w:t>
            </w:r>
          </w:p>
          <w:p w14:paraId="23E89599"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3C335C86" wp14:editId="1971544D">
                  <wp:extent cx="1357917" cy="258792"/>
                  <wp:effectExtent l="0" t="0" r="0" b="8255"/>
                  <wp:docPr id="380168368" name="Picture 3801683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image"/>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379843" cy="262971"/>
                          </a:xfrm>
                          <a:prstGeom prst="rect">
                            <a:avLst/>
                          </a:prstGeom>
                          <a:noFill/>
                          <a:ln>
                            <a:noFill/>
                          </a:ln>
                        </pic:spPr>
                      </pic:pic>
                    </a:graphicData>
                  </a:graphic>
                </wp:inline>
              </w:drawing>
            </w:r>
            <w:r w:rsidRPr="008070DB">
              <w:rPr>
                <w:rFonts w:ascii="Times New Roman" w:hAnsi="Times New Roman" w:cs="Times New Roman"/>
                <w:sz w:val="18"/>
                <w:szCs w:val="18"/>
              </w:rPr>
              <w:t xml:space="preserve">= valoarea noţională efectivă </w:t>
            </w:r>
            <w:proofErr w:type="gramStart"/>
            <w:r w:rsidRPr="008070DB">
              <w:rPr>
                <w:rFonts w:ascii="Times New Roman" w:hAnsi="Times New Roman" w:cs="Times New Roman"/>
                <w:sz w:val="18"/>
                <w:szCs w:val="18"/>
              </w:rPr>
              <w:t>a</w:t>
            </w:r>
            <w:proofErr w:type="gramEnd"/>
            <w:r w:rsidRPr="008070DB">
              <w:rPr>
                <w:rFonts w:ascii="Times New Roman" w:hAnsi="Times New Roman" w:cs="Times New Roman"/>
                <w:sz w:val="18"/>
                <w:szCs w:val="18"/>
              </w:rPr>
              <w:t xml:space="preserve"> entităţii de referinţă privind titlurile de capital k, calculată după cum urmează: </w:t>
            </w:r>
          </w:p>
          <w:p w14:paraId="2CBFD072"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BBBDCB9" wp14:editId="610F7B5F">
                  <wp:extent cx="2579109" cy="219075"/>
                  <wp:effectExtent l="0" t="0" r="0" b="0"/>
                  <wp:docPr id="684624299" name="Picture 68462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666666" cy="226512"/>
                          </a:xfrm>
                          <a:prstGeom prst="rect">
                            <a:avLst/>
                          </a:prstGeom>
                          <a:noFill/>
                        </pic:spPr>
                      </pic:pic>
                    </a:graphicData>
                  </a:graphic>
                </wp:inline>
              </w:drawing>
            </w:r>
          </w:p>
          <w:p w14:paraId="55AC724A"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53A968A8"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l = indicele care desemnează poziţia de risc (RiskPosition). </w:t>
            </w:r>
          </w:p>
          <w:p w14:paraId="17580EAA"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A8E4CCE"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4A111D6"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11D5502"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B5A84CE"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2B5A54F"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3846C4D"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8EDE896"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1A01B67"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2AA1DC1"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40AB975"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A2DA8E8" w14:textId="77777777"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B883197" w14:textId="111ADDD4" w:rsidR="00750851" w:rsidRPr="008070DB" w:rsidRDefault="00750851"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72E339D5" w14:textId="29FCE75F"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1F2CE466" w14:textId="77777777" w:rsidR="001A4DE8" w:rsidRPr="00A96E09" w:rsidRDefault="001A4DE8" w:rsidP="00C14AF6">
            <w:pPr>
              <w:jc w:val="both"/>
              <w:rPr>
                <w:sz w:val="18"/>
                <w:szCs w:val="18"/>
                <w:lang w:val="ro-MD"/>
              </w:rPr>
            </w:pPr>
          </w:p>
        </w:tc>
      </w:tr>
      <w:tr w:rsidR="001A4DE8" w:rsidRPr="00A96E09" w14:paraId="3DA8C6BF" w14:textId="77777777" w:rsidTr="00C14AF6">
        <w:trPr>
          <w:trHeight w:val="918"/>
        </w:trPr>
        <w:tc>
          <w:tcPr>
            <w:tcW w:w="3866" w:type="dxa"/>
          </w:tcPr>
          <w:p w14:paraId="080C3662" w14:textId="6212BC34"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280e </w:t>
            </w:r>
            <w:r w:rsidRPr="00A96E09">
              <w:rPr>
                <w:rFonts w:ascii="Times New Roman" w:hAnsi="Times New Roman"/>
                <w:b/>
                <w:bCs/>
                <w:color w:val="000000"/>
                <w:sz w:val="18"/>
                <w:szCs w:val="18"/>
              </w:rPr>
              <w:t>Majorarea aferentă categoriei de risc de marfă</w:t>
            </w:r>
          </w:p>
          <w:p w14:paraId="578EF47D"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(1) În sensul articolului 278, instituţiile calculează majorarea aferentă categoriei de risc de marfă pentru un anumit set de compensare după cum urmează: </w:t>
            </w:r>
          </w:p>
          <w:p w14:paraId="224643AB"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4F3A4BB6" wp14:editId="0A77718B">
                  <wp:extent cx="1406106" cy="297945"/>
                  <wp:effectExtent l="0" t="0" r="3810" b="6985"/>
                  <wp:docPr id="180301040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53060" cy="307894"/>
                          </a:xfrm>
                          <a:prstGeom prst="rect">
                            <a:avLst/>
                          </a:prstGeom>
                          <a:noFill/>
                          <a:ln>
                            <a:noFill/>
                          </a:ln>
                        </pic:spPr>
                      </pic:pic>
                    </a:graphicData>
                  </a:graphic>
                </wp:inline>
              </w:drawing>
            </w:r>
          </w:p>
          <w:p w14:paraId="7C9EABF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6E373EE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AddOn</w:t>
            </w:r>
            <w:r w:rsidRPr="00A96E09">
              <w:rPr>
                <w:rFonts w:ascii="Times New Roman" w:hAnsi="Times New Roman"/>
                <w:color w:val="000000"/>
                <w:sz w:val="18"/>
                <w:szCs w:val="18"/>
                <w:vertAlign w:val="superscript"/>
              </w:rPr>
              <w:t>Marfă</w:t>
            </w:r>
            <w:r w:rsidRPr="00A96E09">
              <w:rPr>
                <w:rFonts w:ascii="Times New Roman" w:hAnsi="Times New Roman"/>
                <w:color w:val="000000"/>
                <w:sz w:val="18"/>
                <w:szCs w:val="18"/>
              </w:rPr>
              <w:t xml:space="preserve"> = majorarea aferentă categoriei de risc de </w:t>
            </w:r>
            <w:proofErr w:type="gramStart"/>
            <w:r w:rsidRPr="00A96E09">
              <w:rPr>
                <w:rFonts w:ascii="Times New Roman" w:hAnsi="Times New Roman"/>
                <w:color w:val="000000"/>
                <w:sz w:val="18"/>
                <w:szCs w:val="18"/>
              </w:rPr>
              <w:t>marfă;</w:t>
            </w:r>
            <w:proofErr w:type="gramEnd"/>
            <w:r w:rsidRPr="00A96E09">
              <w:rPr>
                <w:rFonts w:ascii="Times New Roman" w:hAnsi="Times New Roman"/>
                <w:color w:val="000000"/>
                <w:sz w:val="18"/>
                <w:szCs w:val="18"/>
              </w:rPr>
              <w:t xml:space="preserve"> </w:t>
            </w:r>
          </w:p>
          <w:p w14:paraId="5875E60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j = indicele care desemnează seturile de acoperire a risc- ului de marfă stabilite în conformitate cu articolul 277a alineatul (1) litera (e) și cu articolul 277a alineatul (2) pentru setul de compensare; și </w:t>
            </w:r>
          </w:p>
          <w:p w14:paraId="3E06BC5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234B8E9B" wp14:editId="24AA9120">
                  <wp:extent cx="750498" cy="238100"/>
                  <wp:effectExtent l="0" t="0" r="0" b="0"/>
                  <wp:docPr id="857730981" name="Picture 5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76291" cy="246283"/>
                          </a:xfrm>
                          <a:prstGeom prst="rect">
                            <a:avLst/>
                          </a:prstGeom>
                          <a:noFill/>
                          <a:ln>
                            <a:noFill/>
                          </a:ln>
                        </pic:spPr>
                      </pic:pic>
                    </a:graphicData>
                  </a:graphic>
                </wp:inline>
              </w:drawing>
            </w:r>
            <w:r w:rsidRPr="00A96E09">
              <w:rPr>
                <w:rFonts w:ascii="Times New Roman" w:hAnsi="Times New Roman"/>
                <w:color w:val="000000"/>
                <w:sz w:val="18"/>
                <w:szCs w:val="18"/>
              </w:rPr>
              <w:t xml:space="preserve">= majorarea aferentă categoriei de risc de marfă pentru setul de acoperire a riscului j calculat în conformitate cu alineatul (4). </w:t>
            </w:r>
          </w:p>
          <w:p w14:paraId="2373291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(2) Pentru a calcula majorarea aferentă unui set de acoperire a riscului de marfă pentru un anumit set de compensare în conformitate cu alineatul (4), instituţiile stabilesc tipurile de marfă de referinţă relevante pentru fiecare set de acoperire a riscului. Tranzacţiile cu instrumente financiare derivate pe mărfuri sunt atribuite aceluiași tip de marfă de referinţă numai în cazul în care instrumentul pe mărfuri care este suport al tranzacţiilor respective este de aceeași natură, indiferent de locul de livrare și de calitatea instrumentului pe mărfuri. </w:t>
            </w:r>
          </w:p>
          <w:p w14:paraId="13FD5ED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(3) Prin derogare de la alineatul (2), autorităţile competente pot impune unei instituţii care este expusă într-o măsură semnificativă riscului de bază al unor diferite poziţii care au aceeași natură ca cele menţionate la alineatul (2) să stabilească tipurile de marfă de referinţă pentru poziţiile respective utilizând mai multe caracteristici pe lângă simpla natură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instrumentului pe mărfuri care este suport al tranzacţiilor. Într-o astfel de situaţie, tranzacţiile cu instrumente financiare derivate pe mărfuri sunt atribuite aceluiași tip de marfă de referinţă numai în cazul în care împărtășesc caracteristicile respective. </w:t>
            </w:r>
          </w:p>
          <w:p w14:paraId="7A2CD42B"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color w:val="000000"/>
                <w:sz w:val="18"/>
                <w:szCs w:val="18"/>
              </w:rPr>
              <w:t xml:space="preserve">(4) Instituţiile calculează majorarea aferentă categoriei de risc de marfă pentru setul de acoperire a riscului j după cum urmează: </w:t>
            </w:r>
          </w:p>
          <w:p w14:paraId="24D462F2"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3E8E30AC" wp14:editId="6FEE0B3A">
                  <wp:extent cx="2586465" cy="439947"/>
                  <wp:effectExtent l="0" t="0" r="4445" b="0"/>
                  <wp:docPr id="1732357739" name="Picture 5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723634" cy="463279"/>
                          </a:xfrm>
                          <a:prstGeom prst="rect">
                            <a:avLst/>
                          </a:prstGeom>
                          <a:noFill/>
                          <a:ln>
                            <a:noFill/>
                          </a:ln>
                        </pic:spPr>
                      </pic:pic>
                    </a:graphicData>
                  </a:graphic>
                </wp:inline>
              </w:drawing>
            </w:r>
          </w:p>
          <w:p w14:paraId="02E491F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15C179F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1A319A9F" wp14:editId="7C0584A0">
                  <wp:extent cx="724619" cy="229889"/>
                  <wp:effectExtent l="0" t="0" r="0" b="0"/>
                  <wp:docPr id="1906071241" name="Picture 5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43718" cy="235948"/>
                          </a:xfrm>
                          <a:prstGeom prst="rect">
                            <a:avLst/>
                          </a:prstGeom>
                          <a:noFill/>
                          <a:ln>
                            <a:noFill/>
                          </a:ln>
                        </pic:spPr>
                      </pic:pic>
                    </a:graphicData>
                  </a:graphic>
                </wp:inline>
              </w:drawing>
            </w:r>
            <w:r w:rsidRPr="00A96E09">
              <w:rPr>
                <w:rFonts w:ascii="Times New Roman" w:hAnsi="Times New Roman"/>
                <w:color w:val="000000"/>
                <w:sz w:val="18"/>
                <w:szCs w:val="18"/>
              </w:rPr>
              <w:t xml:space="preserve">= majorarea aferentă categoriei de risc de marfă pentru setul de acoperire a riscului </w:t>
            </w:r>
            <w:proofErr w:type="gramStart"/>
            <w:r w:rsidRPr="00A96E09">
              <w:rPr>
                <w:rFonts w:ascii="Times New Roman" w:hAnsi="Times New Roman"/>
                <w:color w:val="000000"/>
                <w:sz w:val="18"/>
                <w:szCs w:val="18"/>
              </w:rPr>
              <w:t>j;</w:t>
            </w:r>
            <w:proofErr w:type="gramEnd"/>
            <w:r w:rsidRPr="00A96E09">
              <w:rPr>
                <w:rFonts w:ascii="Times New Roman" w:hAnsi="Times New Roman"/>
                <w:color w:val="000000"/>
                <w:sz w:val="18"/>
                <w:szCs w:val="18"/>
              </w:rPr>
              <w:t xml:space="preserve"> </w:t>
            </w:r>
          </w:p>
          <w:p w14:paraId="3A70D78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є</w:t>
            </w:r>
            <w:r w:rsidRPr="00A96E09">
              <w:rPr>
                <w:rFonts w:ascii="Times New Roman" w:hAnsi="Times New Roman"/>
                <w:color w:val="000000"/>
                <w:sz w:val="18"/>
                <w:szCs w:val="18"/>
                <w:vertAlign w:val="subscript"/>
              </w:rPr>
              <w:t>j</w:t>
            </w:r>
            <w:r w:rsidRPr="00A96E09">
              <w:rPr>
                <w:rFonts w:ascii="Times New Roman" w:hAnsi="Times New Roman"/>
                <w:color w:val="000000"/>
                <w:sz w:val="18"/>
                <w:szCs w:val="18"/>
              </w:rPr>
              <w:t xml:space="preserve"> = coeficientul factorului impus de autorităţile de supraveghere aferent setului de acoperire a riscului pentru setul de acoperire a riscului j determinat în conformitate cu articolul </w:t>
            </w:r>
            <w:proofErr w:type="gramStart"/>
            <w:r w:rsidRPr="00A96E09">
              <w:rPr>
                <w:rFonts w:ascii="Times New Roman" w:hAnsi="Times New Roman"/>
                <w:color w:val="000000"/>
                <w:sz w:val="18"/>
                <w:szCs w:val="18"/>
              </w:rPr>
              <w:t>280;</w:t>
            </w:r>
            <w:proofErr w:type="gramEnd"/>
            <w:r w:rsidRPr="00A96E09">
              <w:rPr>
                <w:rFonts w:ascii="Times New Roman" w:hAnsi="Times New Roman"/>
                <w:color w:val="000000"/>
                <w:sz w:val="18"/>
                <w:szCs w:val="18"/>
              </w:rPr>
              <w:t xml:space="preserve"> </w:t>
            </w:r>
          </w:p>
          <w:p w14:paraId="1608CB2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ρ</w:t>
            </w:r>
            <w:r w:rsidRPr="00A96E09">
              <w:rPr>
                <w:rFonts w:ascii="Times New Roman" w:hAnsi="Times New Roman"/>
                <w:color w:val="000000"/>
                <w:sz w:val="18"/>
                <w:szCs w:val="18"/>
                <w:vertAlign w:val="superscript"/>
              </w:rPr>
              <w:t>Marfă</w:t>
            </w:r>
            <w:r w:rsidRPr="00A96E09">
              <w:rPr>
                <w:rFonts w:ascii="Times New Roman" w:hAnsi="Times New Roman"/>
                <w:color w:val="000000"/>
                <w:sz w:val="18"/>
                <w:szCs w:val="18"/>
              </w:rPr>
              <w:t xml:space="preserve"> = factorul de corelare pentru categoria de risc de marfă cu o valoare egală cu </w:t>
            </w:r>
            <w:proofErr w:type="gramStart"/>
            <w:r w:rsidRPr="00A96E09">
              <w:rPr>
                <w:rFonts w:ascii="Times New Roman" w:hAnsi="Times New Roman"/>
                <w:color w:val="000000"/>
                <w:sz w:val="18"/>
                <w:szCs w:val="18"/>
              </w:rPr>
              <w:t>40 %;</w:t>
            </w:r>
            <w:proofErr w:type="gramEnd"/>
            <w:r w:rsidRPr="00A96E09">
              <w:rPr>
                <w:rFonts w:ascii="Times New Roman" w:hAnsi="Times New Roman"/>
                <w:color w:val="000000"/>
                <w:sz w:val="18"/>
                <w:szCs w:val="18"/>
              </w:rPr>
              <w:t xml:space="preserve"> </w:t>
            </w:r>
          </w:p>
          <w:p w14:paraId="6A67709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k = indicele care desemnează tipurile de marfă de re- ferinţă aferente setului de compensare stabilite în conformitate cu alineatul (2); și </w:t>
            </w:r>
          </w:p>
          <w:p w14:paraId="1D57124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ABDD72C" wp14:editId="5FF4A64C">
                  <wp:extent cx="724535" cy="240001"/>
                  <wp:effectExtent l="0" t="0" r="0" b="8255"/>
                  <wp:docPr id="39902545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48475" cy="247931"/>
                          </a:xfrm>
                          <a:prstGeom prst="rect">
                            <a:avLst/>
                          </a:prstGeom>
                          <a:noFill/>
                        </pic:spPr>
                      </pic:pic>
                    </a:graphicData>
                  </a:graphic>
                </wp:inline>
              </w:drawing>
            </w:r>
            <w:r w:rsidRPr="00A96E09">
              <w:rPr>
                <w:rFonts w:ascii="Times New Roman" w:hAnsi="Times New Roman"/>
                <w:color w:val="000000"/>
                <w:sz w:val="18"/>
                <w:szCs w:val="18"/>
              </w:rPr>
              <w:t xml:space="preserve">= majorarea aferentă tipului de marfă de referinţă k, calculată în conformitate cu alineatul (5). </w:t>
            </w:r>
          </w:p>
          <w:p w14:paraId="3064AA7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(5) Instituţiile calculează majorarea pentru tipul de marfă de referinţă k după cum urmează: </w:t>
            </w:r>
          </w:p>
          <w:p w14:paraId="20EDA44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7C3FEF9"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479CA06E" wp14:editId="5EC3683D">
                  <wp:extent cx="2306600" cy="301925"/>
                  <wp:effectExtent l="0" t="0" r="0" b="3175"/>
                  <wp:docPr id="2104705203" name="Picture 5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68864" cy="310075"/>
                          </a:xfrm>
                          <a:prstGeom prst="rect">
                            <a:avLst/>
                          </a:prstGeom>
                          <a:noFill/>
                          <a:ln>
                            <a:noFill/>
                          </a:ln>
                        </pic:spPr>
                      </pic:pic>
                    </a:graphicData>
                  </a:graphic>
                </wp:inline>
              </w:drawing>
            </w:r>
          </w:p>
          <w:p w14:paraId="151985BA" w14:textId="77777777" w:rsidR="001A4DE8" w:rsidRPr="00A96E09" w:rsidRDefault="001A4DE8" w:rsidP="003456B0">
            <w:pPr>
              <w:pStyle w:val="CM4"/>
              <w:spacing w:before="60" w:after="60"/>
              <w:jc w:val="both"/>
              <w:rPr>
                <w:rFonts w:ascii="Times New Roman" w:hAnsi="Times New Roman"/>
                <w:b/>
                <w:bCs/>
                <w:color w:val="000000"/>
                <w:sz w:val="18"/>
                <w:szCs w:val="18"/>
              </w:rPr>
            </w:pPr>
            <w:r w:rsidRPr="00A96E09">
              <w:rPr>
                <w:rFonts w:ascii="Times New Roman" w:hAnsi="Times New Roman"/>
                <w:noProof/>
                <w:sz w:val="18"/>
                <w:szCs w:val="18"/>
              </w:rPr>
              <w:drawing>
                <wp:inline distT="0" distB="0" distL="0" distR="0" wp14:anchorId="0982C28E" wp14:editId="786E859E">
                  <wp:extent cx="871268" cy="290543"/>
                  <wp:effectExtent l="0" t="0" r="5080" b="0"/>
                  <wp:docPr id="249735574" name="Picture 6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77753" cy="292706"/>
                          </a:xfrm>
                          <a:prstGeom prst="rect">
                            <a:avLst/>
                          </a:prstGeom>
                          <a:noFill/>
                          <a:ln>
                            <a:noFill/>
                          </a:ln>
                        </pic:spPr>
                      </pic:pic>
                    </a:graphicData>
                  </a:graphic>
                </wp:inline>
              </w:drawing>
            </w:r>
            <w:r w:rsidRPr="00A96E09">
              <w:rPr>
                <w:rFonts w:ascii="Times New Roman" w:hAnsi="Times New Roman"/>
                <w:color w:val="000000"/>
                <w:sz w:val="18"/>
                <w:szCs w:val="18"/>
              </w:rPr>
              <w:t xml:space="preserve">= majorarea pentru tipul de marfă de referinţă </w:t>
            </w:r>
            <w:proofErr w:type="gramStart"/>
            <w:r w:rsidRPr="00A96E09">
              <w:rPr>
                <w:rFonts w:ascii="Times New Roman" w:hAnsi="Times New Roman"/>
                <w:color w:val="000000"/>
                <w:sz w:val="18"/>
                <w:szCs w:val="18"/>
              </w:rPr>
              <w:t>k;</w:t>
            </w:r>
            <w:proofErr w:type="gramEnd"/>
            <w:r w:rsidRPr="00A96E09">
              <w:rPr>
                <w:rFonts w:ascii="Times New Roman" w:hAnsi="Times New Roman"/>
                <w:color w:val="000000"/>
                <w:sz w:val="18"/>
                <w:szCs w:val="18"/>
              </w:rPr>
              <w:t xml:space="preserve"> </w:t>
            </w:r>
          </w:p>
          <w:p w14:paraId="0F2C004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4308FBE7" wp14:editId="4AB4B059">
                  <wp:extent cx="457200" cy="179363"/>
                  <wp:effectExtent l="0" t="0" r="0" b="0"/>
                  <wp:docPr id="1910939797"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8325" cy="187651"/>
                          </a:xfrm>
                          <a:prstGeom prst="rect">
                            <a:avLst/>
                          </a:prstGeom>
                          <a:noFill/>
                        </pic:spPr>
                      </pic:pic>
                    </a:graphicData>
                  </a:graphic>
                </wp:inline>
              </w:drawing>
            </w:r>
            <w:r w:rsidRPr="00A96E09">
              <w:rPr>
                <w:rFonts w:ascii="Times New Roman" w:hAnsi="Times New Roman"/>
                <w:color w:val="000000"/>
                <w:sz w:val="18"/>
                <w:szCs w:val="18"/>
              </w:rPr>
              <w:t xml:space="preserve">= factorul impus de autorităţile de supraveghere aplicabil tipului de marfă de referinţă k; în cazul în care tipul de marfă de referinţă k corespunde unor tranzacţii atribuite setului de acoperire a riscului menţionat la articolul 277a alineatul (1) litera (e), cu excepţia tranzacţiilor privind energia electrică, </w:t>
            </w:r>
            <w:r w:rsidRPr="00A96E09">
              <w:rPr>
                <w:rFonts w:ascii="Times New Roman" w:hAnsi="Times New Roman"/>
                <w:noProof/>
                <w:color w:val="000000"/>
                <w:sz w:val="18"/>
                <w:szCs w:val="18"/>
              </w:rPr>
              <w:drawing>
                <wp:inline distT="0" distB="0" distL="0" distR="0" wp14:anchorId="10DE2199" wp14:editId="34BBA733">
                  <wp:extent cx="825094" cy="155276"/>
                  <wp:effectExtent l="0" t="0" r="0" b="0"/>
                  <wp:docPr id="15581939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57227" cy="161323"/>
                          </a:xfrm>
                          <a:prstGeom prst="rect">
                            <a:avLst/>
                          </a:prstGeom>
                          <a:noFill/>
                        </pic:spPr>
                      </pic:pic>
                    </a:graphicData>
                  </a:graphic>
                </wp:inline>
              </w:drawing>
            </w:r>
            <w:r w:rsidRPr="00A96E09">
              <w:rPr>
                <w:rFonts w:ascii="Times New Roman" w:hAnsi="Times New Roman"/>
                <w:color w:val="000000"/>
                <w:sz w:val="18"/>
                <w:szCs w:val="18"/>
              </w:rPr>
              <w:t xml:space="preserve">; pentru tranzacţiile privind energia electrică, </w:t>
            </w:r>
            <w:r w:rsidRPr="00A96E09">
              <w:rPr>
                <w:rFonts w:ascii="Times New Roman" w:hAnsi="Times New Roman"/>
                <w:noProof/>
                <w:color w:val="000000"/>
                <w:sz w:val="18"/>
                <w:szCs w:val="18"/>
              </w:rPr>
              <w:drawing>
                <wp:inline distT="0" distB="0" distL="0" distR="0" wp14:anchorId="1E0A2758" wp14:editId="06943051">
                  <wp:extent cx="854015" cy="160719"/>
                  <wp:effectExtent l="0" t="0" r="3810" b="0"/>
                  <wp:docPr id="79031956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85243" cy="166596"/>
                          </a:xfrm>
                          <a:prstGeom prst="rect">
                            <a:avLst/>
                          </a:prstGeom>
                          <a:noFill/>
                        </pic:spPr>
                      </pic:pic>
                    </a:graphicData>
                  </a:graphic>
                </wp:inline>
              </w:drawing>
            </w:r>
            <w:r w:rsidRPr="00A96E09">
              <w:rPr>
                <w:rFonts w:ascii="Times New Roman" w:hAnsi="Times New Roman"/>
                <w:color w:val="000000"/>
                <w:sz w:val="18"/>
                <w:szCs w:val="18"/>
              </w:rPr>
              <w:t xml:space="preserve">; și </w:t>
            </w:r>
            <w:r w:rsidRPr="00A96E09">
              <w:rPr>
                <w:rFonts w:ascii="Times New Roman" w:hAnsi="Times New Roman"/>
                <w:b/>
                <w:bCs/>
                <w:color w:val="000000"/>
                <w:sz w:val="18"/>
                <w:szCs w:val="18"/>
              </w:rPr>
              <w:t xml:space="preserve">▼M8 </w:t>
            </w:r>
          </w:p>
          <w:p w14:paraId="2614214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7E0E42A1" wp14:editId="041F04F7">
                  <wp:extent cx="763751" cy="232914"/>
                  <wp:effectExtent l="0" t="0" r="0" b="0"/>
                  <wp:docPr id="1466913292" name="Picture 6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80185" cy="237926"/>
                          </a:xfrm>
                          <a:prstGeom prst="rect">
                            <a:avLst/>
                          </a:prstGeom>
                          <a:noFill/>
                          <a:ln>
                            <a:noFill/>
                          </a:ln>
                        </pic:spPr>
                      </pic:pic>
                    </a:graphicData>
                  </a:graphic>
                </wp:inline>
              </w:drawing>
            </w:r>
            <w:r w:rsidRPr="00A96E09">
              <w:rPr>
                <w:rFonts w:ascii="Times New Roman" w:hAnsi="Times New Roman"/>
                <w:color w:val="000000"/>
                <w:sz w:val="18"/>
                <w:szCs w:val="18"/>
              </w:rPr>
              <w:t xml:space="preserve">= valoarea noţională efectivă a tipului de marfă de referinţă k, calculată după cum urmează: </w:t>
            </w:r>
          </w:p>
          <w:p w14:paraId="6D4D671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50E2F8E" wp14:editId="7C431A6C">
                  <wp:extent cx="2225345" cy="276045"/>
                  <wp:effectExtent l="0" t="0" r="3810" b="0"/>
                  <wp:docPr id="92262817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12602" cy="286869"/>
                          </a:xfrm>
                          <a:prstGeom prst="rect">
                            <a:avLst/>
                          </a:prstGeom>
                          <a:noFill/>
                        </pic:spPr>
                      </pic:pic>
                    </a:graphicData>
                  </a:graphic>
                </wp:inline>
              </w:drawing>
            </w:r>
          </w:p>
          <w:p w14:paraId="4D782C4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14A71A33" w14:textId="16477AAF"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color w:val="000000"/>
                <w:sz w:val="18"/>
                <w:szCs w:val="18"/>
              </w:rPr>
              <w:lastRenderedPageBreak/>
              <w:t>l = indicele care desemnează poziţia de risc (RiskPosition).</w:t>
            </w:r>
          </w:p>
        </w:tc>
        <w:tc>
          <w:tcPr>
            <w:tcW w:w="4356" w:type="dxa"/>
          </w:tcPr>
          <w:p w14:paraId="35599826" w14:textId="4D503132" w:rsidR="001A4DE8" w:rsidRPr="008070DB" w:rsidRDefault="001A4DE8" w:rsidP="003456B0">
            <w:pPr>
              <w:pStyle w:val="CM4"/>
              <w:spacing w:before="60" w:after="60"/>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Secțiunea a 14-a</w:t>
            </w:r>
          </w:p>
          <w:p w14:paraId="492EA778" w14:textId="77777777" w:rsidR="001A4DE8" w:rsidRPr="008070DB" w:rsidRDefault="001A4DE8" w:rsidP="003456B0">
            <w:pPr>
              <w:pStyle w:val="Default"/>
              <w:jc w:val="both"/>
              <w:rPr>
                <w:rFonts w:ascii="Times New Roman" w:hAnsi="Times New Roman" w:cs="Times New Roman"/>
                <w:b/>
                <w:bCs/>
                <w:sz w:val="18"/>
                <w:szCs w:val="18"/>
              </w:rPr>
            </w:pPr>
            <w:r w:rsidRPr="008070DB">
              <w:rPr>
                <w:rFonts w:ascii="Times New Roman" w:hAnsi="Times New Roman" w:cs="Times New Roman"/>
                <w:b/>
                <w:bCs/>
                <w:sz w:val="18"/>
                <w:szCs w:val="18"/>
              </w:rPr>
              <w:t>Majorarea aferentă categoriei de risc de marfă</w:t>
            </w:r>
          </w:p>
          <w:p w14:paraId="1DDB933E" w14:textId="55E315FC" w:rsidR="001A4DE8" w:rsidRPr="008070DB" w:rsidRDefault="00A67224"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w:t>
            </w:r>
            <w:r w:rsidR="00713A0D" w:rsidRPr="008070DB">
              <w:rPr>
                <w:rFonts w:ascii="Times New Roman" w:hAnsi="Times New Roman" w:cs="Times New Roman"/>
                <w:b/>
                <w:bCs/>
                <w:sz w:val="18"/>
                <w:szCs w:val="18"/>
              </w:rPr>
              <w:t>2</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În sensul punctelor </w:t>
            </w:r>
            <w:r w:rsidRPr="008070DB">
              <w:rPr>
                <w:rFonts w:ascii="Times New Roman" w:hAnsi="Times New Roman" w:cs="Times New Roman"/>
                <w:sz w:val="18"/>
                <w:szCs w:val="18"/>
              </w:rPr>
              <w:t>6</w:t>
            </w:r>
            <w:r w:rsidR="00713A0D" w:rsidRPr="008070DB">
              <w:rPr>
                <w:rFonts w:ascii="Times New Roman" w:hAnsi="Times New Roman" w:cs="Times New Roman"/>
                <w:sz w:val="18"/>
                <w:szCs w:val="18"/>
              </w:rPr>
              <w:t>6</w:t>
            </w:r>
            <w:r w:rsidR="007F47E2" w:rsidRPr="008070DB">
              <w:rPr>
                <w:rFonts w:ascii="Times New Roman" w:hAnsi="Times New Roman" w:cs="Times New Roman"/>
                <w:sz w:val="18"/>
                <w:szCs w:val="18"/>
              </w:rPr>
              <w:t>-</w:t>
            </w:r>
            <w:r w:rsidRPr="008070DB">
              <w:rPr>
                <w:rFonts w:ascii="Times New Roman" w:hAnsi="Times New Roman" w:cs="Times New Roman"/>
                <w:sz w:val="18"/>
                <w:szCs w:val="18"/>
              </w:rPr>
              <w:t>6</w:t>
            </w:r>
            <w:r w:rsidR="00713A0D" w:rsidRPr="008070DB">
              <w:rPr>
                <w:rFonts w:ascii="Times New Roman" w:hAnsi="Times New Roman" w:cs="Times New Roman"/>
                <w:sz w:val="18"/>
                <w:szCs w:val="18"/>
              </w:rPr>
              <w:t>8</w:t>
            </w:r>
            <w:r w:rsidR="001A4DE8" w:rsidRPr="008070DB">
              <w:rPr>
                <w:rFonts w:ascii="Times New Roman" w:hAnsi="Times New Roman" w:cs="Times New Roman"/>
                <w:sz w:val="18"/>
                <w:szCs w:val="18"/>
              </w:rPr>
              <w:t xml:space="preserve">, băncile calculează majorarea aferentă categoriei de risc de marfă pentru un anumit set de compensare după cum urmează: </w:t>
            </w:r>
          </w:p>
          <w:p w14:paraId="0BAC738A"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0689454E" wp14:editId="5B3466E0">
                  <wp:extent cx="1958196" cy="414930"/>
                  <wp:effectExtent l="0" t="0" r="4445" b="4445"/>
                  <wp:docPr id="1683718502" name="Picture 1683718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979693" cy="419485"/>
                          </a:xfrm>
                          <a:prstGeom prst="rect">
                            <a:avLst/>
                          </a:prstGeom>
                          <a:noFill/>
                          <a:ln>
                            <a:noFill/>
                          </a:ln>
                        </pic:spPr>
                      </pic:pic>
                    </a:graphicData>
                  </a:graphic>
                </wp:inline>
              </w:drawing>
            </w:r>
          </w:p>
          <w:p w14:paraId="71D92994"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331D18AA"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AddOn</w:t>
            </w:r>
            <w:r w:rsidRPr="008070DB">
              <w:rPr>
                <w:rFonts w:ascii="Times New Roman" w:hAnsi="Times New Roman" w:cs="Times New Roman"/>
                <w:sz w:val="18"/>
                <w:szCs w:val="18"/>
                <w:vertAlign w:val="superscript"/>
              </w:rPr>
              <w:t>Marfă</w:t>
            </w:r>
            <w:r w:rsidRPr="008070DB">
              <w:rPr>
                <w:rFonts w:ascii="Times New Roman" w:hAnsi="Times New Roman" w:cs="Times New Roman"/>
                <w:sz w:val="18"/>
                <w:szCs w:val="18"/>
              </w:rPr>
              <w:t xml:space="preserve"> = majorarea aferentă categoriei de risc de </w:t>
            </w:r>
            <w:proofErr w:type="gramStart"/>
            <w:r w:rsidRPr="008070DB">
              <w:rPr>
                <w:rFonts w:ascii="Times New Roman" w:hAnsi="Times New Roman" w:cs="Times New Roman"/>
                <w:sz w:val="18"/>
                <w:szCs w:val="18"/>
              </w:rPr>
              <w:t>marfă;</w:t>
            </w:r>
            <w:proofErr w:type="gramEnd"/>
            <w:r w:rsidRPr="008070DB">
              <w:rPr>
                <w:rFonts w:ascii="Times New Roman" w:hAnsi="Times New Roman" w:cs="Times New Roman"/>
                <w:sz w:val="18"/>
                <w:szCs w:val="18"/>
              </w:rPr>
              <w:t xml:space="preserve"> </w:t>
            </w:r>
          </w:p>
          <w:p w14:paraId="7E47FC02" w14:textId="612E5924"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j = indicele care desemnează seturile de acoperire a riscului de marfă stabilite în conformitate cu </w:t>
            </w:r>
            <w:r w:rsidR="007F47E2" w:rsidRPr="008070DB">
              <w:rPr>
                <w:rFonts w:ascii="Times New Roman" w:hAnsi="Times New Roman" w:cs="Times New Roman"/>
                <w:sz w:val="18"/>
                <w:szCs w:val="18"/>
              </w:rPr>
              <w:t xml:space="preserve">punctul </w:t>
            </w:r>
            <w:r w:rsidR="00A67224" w:rsidRPr="008070DB">
              <w:rPr>
                <w:rFonts w:ascii="Times New Roman" w:hAnsi="Times New Roman" w:cs="Times New Roman"/>
                <w:sz w:val="18"/>
                <w:szCs w:val="18"/>
              </w:rPr>
              <w:t>5</w:t>
            </w:r>
            <w:r w:rsidR="00713A0D" w:rsidRPr="008070DB">
              <w:rPr>
                <w:rFonts w:ascii="Times New Roman" w:hAnsi="Times New Roman" w:cs="Times New Roman"/>
                <w:sz w:val="18"/>
                <w:szCs w:val="18"/>
              </w:rPr>
              <w:t>9</w:t>
            </w:r>
            <w:r w:rsidR="007F47E2" w:rsidRPr="008070DB">
              <w:rPr>
                <w:rFonts w:ascii="Times New Roman" w:hAnsi="Times New Roman" w:cs="Times New Roman"/>
                <w:sz w:val="18"/>
                <w:szCs w:val="18"/>
              </w:rPr>
              <w:t xml:space="preserve">, subpunctul </w:t>
            </w:r>
            <w:r w:rsidR="00A67224" w:rsidRPr="008070DB">
              <w:rPr>
                <w:rFonts w:ascii="Times New Roman" w:hAnsi="Times New Roman" w:cs="Times New Roman"/>
                <w:sz w:val="18"/>
                <w:szCs w:val="18"/>
              </w:rPr>
              <w:t>5</w:t>
            </w:r>
            <w:r w:rsidR="00713A0D" w:rsidRPr="008070DB">
              <w:rPr>
                <w:rFonts w:ascii="Times New Roman" w:hAnsi="Times New Roman" w:cs="Times New Roman"/>
                <w:sz w:val="18"/>
                <w:szCs w:val="18"/>
              </w:rPr>
              <w:t>9</w:t>
            </w:r>
            <w:r w:rsidR="007F47E2" w:rsidRPr="008070DB">
              <w:rPr>
                <w:rFonts w:ascii="Times New Roman" w:hAnsi="Times New Roman" w:cs="Times New Roman"/>
                <w:sz w:val="18"/>
                <w:szCs w:val="18"/>
              </w:rPr>
              <w:t xml:space="preserve">.5. și punctelor </w:t>
            </w:r>
            <w:r w:rsidR="00A67224" w:rsidRPr="008070DB">
              <w:rPr>
                <w:rFonts w:ascii="Times New Roman" w:hAnsi="Times New Roman" w:cs="Times New Roman"/>
                <w:sz w:val="18"/>
                <w:szCs w:val="18"/>
              </w:rPr>
              <w:t>6</w:t>
            </w:r>
            <w:r w:rsidR="00713A0D" w:rsidRPr="008070DB">
              <w:rPr>
                <w:rFonts w:ascii="Times New Roman" w:hAnsi="Times New Roman" w:cs="Times New Roman"/>
                <w:sz w:val="18"/>
                <w:szCs w:val="18"/>
              </w:rPr>
              <w:t>1</w:t>
            </w:r>
            <w:r w:rsidR="007F47E2" w:rsidRPr="008070DB">
              <w:rPr>
                <w:rFonts w:ascii="Times New Roman" w:hAnsi="Times New Roman" w:cs="Times New Roman"/>
                <w:sz w:val="18"/>
                <w:szCs w:val="18"/>
              </w:rPr>
              <w:t>-</w:t>
            </w:r>
            <w:r w:rsidR="00A67224" w:rsidRPr="008070DB">
              <w:rPr>
                <w:rFonts w:ascii="Times New Roman" w:hAnsi="Times New Roman" w:cs="Times New Roman"/>
                <w:sz w:val="18"/>
                <w:szCs w:val="18"/>
              </w:rPr>
              <w:t>6</w:t>
            </w:r>
            <w:r w:rsidR="00713A0D" w:rsidRPr="008070DB">
              <w:rPr>
                <w:rFonts w:ascii="Times New Roman" w:hAnsi="Times New Roman" w:cs="Times New Roman"/>
                <w:sz w:val="18"/>
                <w:szCs w:val="18"/>
              </w:rPr>
              <w:t>4</w:t>
            </w:r>
            <w:r w:rsidR="007F47E2" w:rsidRPr="008070DB">
              <w:rPr>
                <w:rFonts w:ascii="Times New Roman" w:hAnsi="Times New Roman" w:cs="Times New Roman"/>
                <w:sz w:val="18"/>
                <w:szCs w:val="18"/>
              </w:rPr>
              <w:t xml:space="preserve"> </w:t>
            </w:r>
            <w:r w:rsidRPr="008070DB">
              <w:rPr>
                <w:rFonts w:ascii="Times New Roman" w:hAnsi="Times New Roman" w:cs="Times New Roman"/>
                <w:sz w:val="18"/>
                <w:szCs w:val="18"/>
              </w:rPr>
              <w:t xml:space="preserve">pentru setul de compensare; și </w:t>
            </w:r>
          </w:p>
          <w:p w14:paraId="2A9BD928" w14:textId="16CC1A1E"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045B794B" wp14:editId="4448E486">
                  <wp:extent cx="802256" cy="254520"/>
                  <wp:effectExtent l="0" t="0" r="0" b="0"/>
                  <wp:docPr id="661983154" name="Picture 66198315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1674" cy="260681"/>
                          </a:xfrm>
                          <a:prstGeom prst="rect">
                            <a:avLst/>
                          </a:prstGeom>
                          <a:noFill/>
                          <a:ln>
                            <a:noFill/>
                          </a:ln>
                        </pic:spPr>
                      </pic:pic>
                    </a:graphicData>
                  </a:graphic>
                </wp:inline>
              </w:drawing>
            </w:r>
            <w:r w:rsidRPr="008070DB">
              <w:rPr>
                <w:rFonts w:ascii="Times New Roman" w:hAnsi="Times New Roman" w:cs="Times New Roman"/>
                <w:sz w:val="18"/>
                <w:szCs w:val="18"/>
              </w:rPr>
              <w:t xml:space="preserve">= majorarea aferentă categoriei de risc de marfă pentru setul de acoperire a riscului j calculat în conformitate cu punctul </w:t>
            </w:r>
            <w:r w:rsidR="00A67224" w:rsidRPr="008070DB">
              <w:rPr>
                <w:rFonts w:ascii="Times New Roman" w:hAnsi="Times New Roman" w:cs="Times New Roman"/>
                <w:sz w:val="18"/>
                <w:szCs w:val="18"/>
              </w:rPr>
              <w:t>9</w:t>
            </w:r>
            <w:r w:rsidR="00713A0D" w:rsidRPr="008070DB">
              <w:rPr>
                <w:rFonts w:ascii="Times New Roman" w:hAnsi="Times New Roman" w:cs="Times New Roman"/>
                <w:sz w:val="18"/>
                <w:szCs w:val="18"/>
              </w:rPr>
              <w:t>5</w:t>
            </w:r>
            <w:r w:rsidRPr="008070DB">
              <w:rPr>
                <w:rFonts w:ascii="Times New Roman" w:hAnsi="Times New Roman" w:cs="Times New Roman"/>
                <w:sz w:val="18"/>
                <w:szCs w:val="18"/>
              </w:rPr>
              <w:t xml:space="preserve">. </w:t>
            </w:r>
          </w:p>
          <w:p w14:paraId="37E693E5" w14:textId="1398758D" w:rsidR="001A4DE8" w:rsidRPr="008070DB" w:rsidRDefault="00A67224"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9</w:t>
            </w:r>
            <w:r w:rsidR="00713A0D" w:rsidRPr="008070DB">
              <w:rPr>
                <w:rFonts w:eastAsiaTheme="minorHAnsi"/>
                <w:b/>
                <w:bCs/>
                <w:color w:val="000000"/>
                <w:sz w:val="18"/>
                <w:szCs w:val="18"/>
                <w:lang w:val="ro-MD" w:eastAsia="en-US"/>
                <w14:ligatures w14:val="standardContextual"/>
              </w:rPr>
              <w:t>3</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Pentru a calcula majorarea aferentă unui set de acoperire a riscului de marfă pentru un anumit set de compensare în conformitate cu punctul </w:t>
            </w:r>
            <w:r w:rsidRPr="008070DB">
              <w:rPr>
                <w:rFonts w:eastAsiaTheme="minorHAnsi"/>
                <w:color w:val="000000"/>
                <w:sz w:val="18"/>
                <w:szCs w:val="18"/>
                <w:lang w:val="ro-MD" w:eastAsia="en-US"/>
                <w14:ligatures w14:val="standardContextual"/>
              </w:rPr>
              <w:t>9</w:t>
            </w:r>
            <w:r w:rsidR="00713A0D" w:rsidRPr="008070DB">
              <w:rPr>
                <w:rFonts w:eastAsiaTheme="minorHAnsi"/>
                <w:color w:val="000000"/>
                <w:sz w:val="18"/>
                <w:szCs w:val="18"/>
                <w:lang w:val="ro-MD" w:eastAsia="en-US"/>
                <w14:ligatures w14:val="standardContextual"/>
              </w:rPr>
              <w:t>5</w:t>
            </w:r>
            <w:r w:rsidR="001A4DE8" w:rsidRPr="008070DB">
              <w:rPr>
                <w:rFonts w:eastAsiaTheme="minorHAnsi"/>
                <w:color w:val="000000"/>
                <w:sz w:val="18"/>
                <w:szCs w:val="18"/>
                <w:lang w:val="ro-MD" w:eastAsia="en-US"/>
                <w14:ligatures w14:val="standardContextual"/>
              </w:rPr>
              <w:t xml:space="preserve">, băncile </w:t>
            </w:r>
            <w:r w:rsidR="001A4DE8" w:rsidRPr="008070DB">
              <w:rPr>
                <w:rFonts w:eastAsiaTheme="minorHAnsi"/>
                <w:color w:val="000000"/>
                <w:sz w:val="18"/>
                <w:szCs w:val="18"/>
                <w:lang w:val="ro-MD" w:eastAsia="en-US"/>
                <w14:ligatures w14:val="standardContextual"/>
              </w:rPr>
              <w:t xml:space="preserve">stabilesc tipurile de marfă de referinţă relevante pentru fiecare set de acoperire a riscului. Tranzacţiile cu instrumente financiare derivate pe mărfuri sunt atribuite aceluiași tip de marfă de referinţă numai în cazul în care instrumentul pe mărfuri care este suport al tranzacţiilor respective este de aceeași natură, indiferent de locul de livrare și de calitatea instrumentului pe mărfuri. </w:t>
            </w:r>
          </w:p>
          <w:p w14:paraId="23C49328" w14:textId="51F1AA9E" w:rsidR="001A4DE8" w:rsidRPr="008070DB" w:rsidRDefault="00A67224"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9</w:t>
            </w:r>
            <w:r w:rsidR="00713A0D" w:rsidRPr="008070DB">
              <w:rPr>
                <w:rFonts w:eastAsiaTheme="minorHAnsi"/>
                <w:b/>
                <w:bCs/>
                <w:color w:val="000000"/>
                <w:sz w:val="18"/>
                <w:szCs w:val="18"/>
                <w:lang w:val="ro-MD" w:eastAsia="en-US"/>
                <w14:ligatures w14:val="standardContextual"/>
              </w:rPr>
              <w:t>4</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Prin derogare de la punctul </w:t>
            </w:r>
            <w:r w:rsidRPr="008070DB">
              <w:rPr>
                <w:rFonts w:eastAsiaTheme="minorHAnsi"/>
                <w:color w:val="000000"/>
                <w:sz w:val="18"/>
                <w:szCs w:val="18"/>
                <w:lang w:val="ro-MD" w:eastAsia="en-US"/>
                <w14:ligatures w14:val="standardContextual"/>
              </w:rPr>
              <w:t>9</w:t>
            </w:r>
            <w:r w:rsidR="00713A0D" w:rsidRPr="008070DB">
              <w:rPr>
                <w:rFonts w:eastAsiaTheme="minorHAnsi"/>
                <w:color w:val="000000"/>
                <w:sz w:val="18"/>
                <w:szCs w:val="18"/>
                <w:lang w:val="ro-MD" w:eastAsia="en-US"/>
                <w14:ligatures w14:val="standardContextual"/>
              </w:rPr>
              <w:t>3</w:t>
            </w:r>
            <w:r w:rsidR="001A4DE8" w:rsidRPr="008070DB">
              <w:rPr>
                <w:rFonts w:eastAsiaTheme="minorHAnsi"/>
                <w:color w:val="000000"/>
                <w:sz w:val="18"/>
                <w:szCs w:val="18"/>
                <w:lang w:val="ro-MD" w:eastAsia="en-US"/>
                <w14:ligatures w14:val="standardContextual"/>
              </w:rPr>
              <w:t xml:space="preserve">, Banca Națională a Moldovei poate </w:t>
            </w:r>
            <w:r w:rsidR="003A16A0" w:rsidRPr="008070DB">
              <w:rPr>
                <w:rFonts w:eastAsiaTheme="minorHAnsi"/>
                <w:color w:val="000000"/>
                <w:sz w:val="18"/>
                <w:szCs w:val="18"/>
                <w:lang w:val="ro-MD" w:eastAsia="en-US"/>
                <w14:ligatures w14:val="standardContextual"/>
              </w:rPr>
              <w:t>solicita</w:t>
            </w:r>
            <w:r w:rsidR="001A4DE8" w:rsidRPr="008070DB">
              <w:rPr>
                <w:rFonts w:eastAsiaTheme="minorHAnsi"/>
                <w:color w:val="000000"/>
                <w:sz w:val="18"/>
                <w:szCs w:val="18"/>
                <w:lang w:val="ro-MD" w:eastAsia="en-US"/>
                <w14:ligatures w14:val="standardContextual"/>
              </w:rPr>
              <w:t xml:space="preserve"> unei bănci care este expusă într-o măsură semnificativă riscului de bază al unor diferite poziţii care au aceeași natură ca cele menţionate la punctul </w:t>
            </w:r>
            <w:r w:rsidRPr="008070DB">
              <w:rPr>
                <w:rFonts w:eastAsiaTheme="minorHAnsi"/>
                <w:color w:val="000000"/>
                <w:sz w:val="18"/>
                <w:szCs w:val="18"/>
                <w:lang w:val="ro-MD" w:eastAsia="en-US"/>
                <w14:ligatures w14:val="standardContextual"/>
              </w:rPr>
              <w:t>9</w:t>
            </w:r>
            <w:r w:rsidR="00713A0D" w:rsidRPr="008070DB">
              <w:rPr>
                <w:rFonts w:eastAsiaTheme="minorHAnsi"/>
                <w:color w:val="000000"/>
                <w:sz w:val="18"/>
                <w:szCs w:val="18"/>
                <w:lang w:val="ro-MD" w:eastAsia="en-US"/>
                <w14:ligatures w14:val="standardContextual"/>
              </w:rPr>
              <w:t>3</w:t>
            </w:r>
            <w:r w:rsidR="001A4DE8" w:rsidRPr="008070DB">
              <w:rPr>
                <w:rFonts w:eastAsiaTheme="minorHAnsi"/>
                <w:color w:val="000000"/>
                <w:sz w:val="18"/>
                <w:szCs w:val="18"/>
                <w:lang w:val="ro-MD" w:eastAsia="en-US"/>
                <w14:ligatures w14:val="standardContextual"/>
              </w:rPr>
              <w:t xml:space="preserve"> să stabilească tipurile de marfă de referinţă pentru poziţiile respective utilizând mai multe caracteristici pe lângă simpla natură a instrumentului pe mărfuri care este suport al tranzacţiilor. Într-o astfel de situaţie, tranzacţiile cu instrumente financiare derivate pe mărfuri sunt atribuite aceluiași tip de marfă de referinţă numai în cazul în care împărtășesc caracteristicile respective. </w:t>
            </w:r>
          </w:p>
          <w:p w14:paraId="474E2CA3" w14:textId="798BC781" w:rsidR="001A4DE8" w:rsidRPr="008070DB" w:rsidRDefault="00A67224" w:rsidP="003456B0">
            <w:pPr>
              <w:autoSpaceDE w:val="0"/>
              <w:autoSpaceDN w:val="0"/>
              <w:adjustRightInd w:val="0"/>
              <w:jc w:val="both"/>
              <w:rPr>
                <w:rFonts w:eastAsiaTheme="minorHAnsi"/>
                <w:color w:val="000000"/>
                <w:sz w:val="18"/>
                <w:szCs w:val="18"/>
                <w:lang w:val="ro-MD" w:eastAsia="en-US"/>
                <w14:ligatures w14:val="standardContextual"/>
              </w:rPr>
            </w:pPr>
            <w:r w:rsidRPr="008070DB">
              <w:rPr>
                <w:rFonts w:eastAsiaTheme="minorHAnsi"/>
                <w:b/>
                <w:bCs/>
                <w:color w:val="000000"/>
                <w:sz w:val="18"/>
                <w:szCs w:val="18"/>
                <w:lang w:val="ro-MD" w:eastAsia="en-US"/>
                <w14:ligatures w14:val="standardContextual"/>
              </w:rPr>
              <w:t>9</w:t>
            </w:r>
            <w:r w:rsidR="00713A0D" w:rsidRPr="008070DB">
              <w:rPr>
                <w:rFonts w:eastAsiaTheme="minorHAnsi"/>
                <w:b/>
                <w:bCs/>
                <w:color w:val="000000"/>
                <w:sz w:val="18"/>
                <w:szCs w:val="18"/>
                <w:lang w:val="ro-MD" w:eastAsia="en-US"/>
                <w14:ligatures w14:val="standardContextual"/>
              </w:rPr>
              <w:t>5</w:t>
            </w:r>
            <w:r w:rsidR="001A4DE8" w:rsidRPr="008070DB">
              <w:rPr>
                <w:rFonts w:eastAsiaTheme="minorHAnsi"/>
                <w:b/>
                <w:bCs/>
                <w:color w:val="000000"/>
                <w:sz w:val="18"/>
                <w:szCs w:val="18"/>
                <w:lang w:val="ro-MD" w:eastAsia="en-US"/>
                <w14:ligatures w14:val="standardContextual"/>
              </w:rPr>
              <w:t>.</w:t>
            </w:r>
            <w:r w:rsidR="001A4DE8" w:rsidRPr="008070DB">
              <w:rPr>
                <w:rFonts w:eastAsiaTheme="minorHAnsi"/>
                <w:color w:val="000000"/>
                <w:sz w:val="18"/>
                <w:szCs w:val="18"/>
                <w:lang w:val="ro-MD" w:eastAsia="en-US"/>
                <w14:ligatures w14:val="standardContextual"/>
              </w:rPr>
              <w:t xml:space="preserve"> Băncile calculează majorarea aferentă categoriei de risc de marfă pentru setul de acoperire a riscului j după cum urmează: </w:t>
            </w:r>
          </w:p>
          <w:p w14:paraId="1D135184"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3B73BDF3" wp14:editId="624AE1E0">
                  <wp:extent cx="2550398" cy="314325"/>
                  <wp:effectExtent l="0" t="0" r="2540" b="0"/>
                  <wp:docPr id="229333514" name="Picture 2293335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565944" cy="316241"/>
                          </a:xfrm>
                          <a:prstGeom prst="rect">
                            <a:avLst/>
                          </a:prstGeom>
                          <a:noFill/>
                          <a:ln>
                            <a:noFill/>
                          </a:ln>
                        </pic:spPr>
                      </pic:pic>
                    </a:graphicData>
                  </a:graphic>
                </wp:inline>
              </w:drawing>
            </w:r>
          </w:p>
          <w:p w14:paraId="092B08CD"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52FD5DC3"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6DC83CF7" wp14:editId="35D7D3D4">
                  <wp:extent cx="897297" cy="284672"/>
                  <wp:effectExtent l="0" t="0" r="0" b="1270"/>
                  <wp:docPr id="1090364501" name="Picture 109036450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age"/>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11068" cy="289041"/>
                          </a:xfrm>
                          <a:prstGeom prst="rect">
                            <a:avLst/>
                          </a:prstGeom>
                          <a:noFill/>
                          <a:ln>
                            <a:noFill/>
                          </a:ln>
                        </pic:spPr>
                      </pic:pic>
                    </a:graphicData>
                  </a:graphic>
                </wp:inline>
              </w:drawing>
            </w:r>
            <w:r w:rsidRPr="008070DB">
              <w:rPr>
                <w:rFonts w:ascii="Times New Roman" w:hAnsi="Times New Roman" w:cs="Times New Roman"/>
                <w:sz w:val="18"/>
                <w:szCs w:val="18"/>
              </w:rPr>
              <w:t xml:space="preserve">= majorarea aferentă categoriei de risc de marfă pentru setul de acoperire a riscului </w:t>
            </w:r>
            <w:proofErr w:type="gramStart"/>
            <w:r w:rsidRPr="008070DB">
              <w:rPr>
                <w:rFonts w:ascii="Times New Roman" w:hAnsi="Times New Roman" w:cs="Times New Roman"/>
                <w:sz w:val="18"/>
                <w:szCs w:val="18"/>
              </w:rPr>
              <w:t>j;</w:t>
            </w:r>
            <w:proofErr w:type="gramEnd"/>
            <w:r w:rsidRPr="008070DB">
              <w:rPr>
                <w:rFonts w:ascii="Times New Roman" w:hAnsi="Times New Roman" w:cs="Times New Roman"/>
                <w:sz w:val="18"/>
                <w:szCs w:val="18"/>
              </w:rPr>
              <w:t xml:space="preserve"> </w:t>
            </w:r>
          </w:p>
          <w:p w14:paraId="5D02F202" w14:textId="594D9DFF" w:rsidR="001A4DE8" w:rsidRPr="008070DB" w:rsidRDefault="001A4DE8" w:rsidP="003456B0">
            <w:pPr>
              <w:pStyle w:val="Default"/>
              <w:ind w:firstLine="567"/>
              <w:jc w:val="both"/>
              <w:rPr>
                <w:rFonts w:ascii="Times New Roman" w:hAnsi="Times New Roman" w:cs="Times New Roman"/>
                <w:sz w:val="18"/>
                <w:szCs w:val="18"/>
              </w:rPr>
            </w:pPr>
            <w:r w:rsidRPr="008070DB">
              <w:rPr>
                <w:rFonts w:ascii="Times New Roman" w:hAnsi="Times New Roman" w:cs="Times New Roman"/>
                <w:sz w:val="18"/>
                <w:szCs w:val="18"/>
              </w:rPr>
              <w:t xml:space="preserve">єj = coeficientul factorului </w:t>
            </w:r>
            <w:r w:rsidR="00052F52" w:rsidRPr="008070DB">
              <w:rPr>
                <w:rFonts w:ascii="Times New Roman" w:hAnsi="Times New Roman" w:cs="Times New Roman"/>
                <w:sz w:val="18"/>
                <w:szCs w:val="18"/>
              </w:rPr>
              <w:t>stabilit</w:t>
            </w:r>
            <w:r w:rsidRPr="008070DB">
              <w:rPr>
                <w:rFonts w:ascii="Times New Roman" w:hAnsi="Times New Roman" w:cs="Times New Roman"/>
                <w:sz w:val="18"/>
                <w:szCs w:val="18"/>
              </w:rPr>
              <w:t xml:space="preserve"> de Banca Națională a Moldovei aferent setului de acoperire a riscului pentru setul de acoperire a riscului j determinat în conformitate cu punctul </w:t>
            </w:r>
            <w:proofErr w:type="gramStart"/>
            <w:r w:rsidR="00A67224" w:rsidRPr="008070DB">
              <w:rPr>
                <w:rFonts w:ascii="Times New Roman" w:hAnsi="Times New Roman" w:cs="Times New Roman"/>
                <w:sz w:val="18"/>
                <w:szCs w:val="18"/>
              </w:rPr>
              <w:t>7</w:t>
            </w:r>
            <w:r w:rsidR="00713A0D" w:rsidRPr="008070DB">
              <w:rPr>
                <w:rFonts w:ascii="Times New Roman" w:hAnsi="Times New Roman" w:cs="Times New Roman"/>
                <w:sz w:val="18"/>
                <w:szCs w:val="18"/>
              </w:rPr>
              <w:t>7</w:t>
            </w:r>
            <w:r w:rsidRPr="008070DB">
              <w:rPr>
                <w:rFonts w:ascii="Times New Roman" w:hAnsi="Times New Roman" w:cs="Times New Roman"/>
                <w:sz w:val="18"/>
                <w:szCs w:val="18"/>
              </w:rPr>
              <w:t>;</w:t>
            </w:r>
            <w:proofErr w:type="gramEnd"/>
            <w:r w:rsidRPr="008070DB">
              <w:rPr>
                <w:rFonts w:ascii="Times New Roman" w:hAnsi="Times New Roman" w:cs="Times New Roman"/>
                <w:sz w:val="18"/>
                <w:szCs w:val="18"/>
              </w:rPr>
              <w:t xml:space="preserve"> </w:t>
            </w:r>
          </w:p>
          <w:p w14:paraId="550B0D58"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ρMarfă = factorul de corelare pentru categoria de risc de marfă cu o valoare egală cu </w:t>
            </w:r>
            <w:proofErr w:type="gramStart"/>
            <w:r w:rsidRPr="008070DB">
              <w:rPr>
                <w:rFonts w:ascii="Times New Roman" w:hAnsi="Times New Roman" w:cs="Times New Roman"/>
                <w:sz w:val="18"/>
                <w:szCs w:val="18"/>
              </w:rPr>
              <w:t>40 %;</w:t>
            </w:r>
            <w:proofErr w:type="gramEnd"/>
            <w:r w:rsidRPr="008070DB">
              <w:rPr>
                <w:rFonts w:ascii="Times New Roman" w:hAnsi="Times New Roman" w:cs="Times New Roman"/>
                <w:sz w:val="18"/>
                <w:szCs w:val="18"/>
              </w:rPr>
              <w:t xml:space="preserve"> </w:t>
            </w:r>
          </w:p>
          <w:p w14:paraId="240BC1E9" w14:textId="1DCE728B"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k = indicele care desemnează tipurile de marfă de re- ferinţă aferente setului de compensare stabilite în conformitate cu punctul </w:t>
            </w:r>
            <w:r w:rsidR="00A67224" w:rsidRPr="008070DB">
              <w:rPr>
                <w:rFonts w:ascii="Times New Roman" w:hAnsi="Times New Roman" w:cs="Times New Roman"/>
                <w:sz w:val="18"/>
                <w:szCs w:val="18"/>
              </w:rPr>
              <w:t>9</w:t>
            </w:r>
            <w:r w:rsidR="00713A0D" w:rsidRPr="008070DB">
              <w:rPr>
                <w:rFonts w:ascii="Times New Roman" w:hAnsi="Times New Roman" w:cs="Times New Roman"/>
                <w:sz w:val="18"/>
                <w:szCs w:val="18"/>
              </w:rPr>
              <w:t>3</w:t>
            </w:r>
            <w:r w:rsidRPr="008070DB">
              <w:rPr>
                <w:rFonts w:ascii="Times New Roman" w:hAnsi="Times New Roman" w:cs="Times New Roman"/>
                <w:sz w:val="18"/>
                <w:szCs w:val="18"/>
              </w:rPr>
              <w:t xml:space="preserve">; și </w:t>
            </w:r>
          </w:p>
          <w:p w14:paraId="721AD26C" w14:textId="50A8A3BF"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lastRenderedPageBreak/>
              <w:drawing>
                <wp:inline distT="0" distB="0" distL="0" distR="0" wp14:anchorId="33E64ED9" wp14:editId="256BA4B7">
                  <wp:extent cx="1041685" cy="345057"/>
                  <wp:effectExtent l="0" t="0" r="6350" b="0"/>
                  <wp:docPr id="1641098358" name="Picture 1641098358"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25456" name="Picture 58" descr="A close up of a text  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57467" cy="350285"/>
                          </a:xfrm>
                          <a:prstGeom prst="rect">
                            <a:avLst/>
                          </a:prstGeom>
                          <a:noFill/>
                        </pic:spPr>
                      </pic:pic>
                    </a:graphicData>
                  </a:graphic>
                </wp:inline>
              </w:drawing>
            </w:r>
            <w:r w:rsidRPr="008070DB">
              <w:rPr>
                <w:rFonts w:ascii="Times New Roman" w:hAnsi="Times New Roman" w:cs="Times New Roman"/>
                <w:sz w:val="18"/>
                <w:szCs w:val="18"/>
              </w:rPr>
              <w:t xml:space="preserve">= majorarea aferentă tipului de marfă de referinţă k, calculată în conformitate cu punctul </w:t>
            </w:r>
            <w:r w:rsidR="00A67224" w:rsidRPr="008070DB">
              <w:rPr>
                <w:rFonts w:ascii="Times New Roman" w:hAnsi="Times New Roman" w:cs="Times New Roman"/>
                <w:sz w:val="18"/>
                <w:szCs w:val="18"/>
              </w:rPr>
              <w:t>9</w:t>
            </w:r>
            <w:r w:rsidR="00713A0D" w:rsidRPr="008070DB">
              <w:rPr>
                <w:rFonts w:ascii="Times New Roman" w:hAnsi="Times New Roman" w:cs="Times New Roman"/>
                <w:sz w:val="18"/>
                <w:szCs w:val="18"/>
              </w:rPr>
              <w:t>6</w:t>
            </w:r>
            <w:r w:rsidRPr="008070DB">
              <w:rPr>
                <w:rFonts w:ascii="Times New Roman" w:hAnsi="Times New Roman" w:cs="Times New Roman"/>
                <w:sz w:val="18"/>
                <w:szCs w:val="18"/>
              </w:rPr>
              <w:t>.</w:t>
            </w:r>
          </w:p>
          <w:p w14:paraId="0A075DB8" w14:textId="15EF0F4F" w:rsidR="001A4DE8" w:rsidRPr="008070DB" w:rsidRDefault="003A16A0"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w:t>
            </w:r>
            <w:r w:rsidR="00A67224" w:rsidRPr="008070DB">
              <w:rPr>
                <w:rFonts w:ascii="Times New Roman" w:hAnsi="Times New Roman" w:cs="Times New Roman"/>
                <w:b/>
                <w:bCs/>
                <w:sz w:val="18"/>
                <w:szCs w:val="18"/>
              </w:rPr>
              <w:t>6</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Băncile calculează majorarea pentru tipul de marfă de referinţă k după cum urmează: </w:t>
            </w:r>
          </w:p>
          <w:p w14:paraId="561E1A64" w14:textId="77777777" w:rsidR="006858D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2D9AB7B4" wp14:editId="23864936">
                  <wp:extent cx="2328564" cy="304800"/>
                  <wp:effectExtent l="0" t="0" r="0" b="0"/>
                  <wp:docPr id="995277298" name="Picture 99527729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56363" cy="308439"/>
                          </a:xfrm>
                          <a:prstGeom prst="rect">
                            <a:avLst/>
                          </a:prstGeom>
                          <a:noFill/>
                          <a:ln>
                            <a:noFill/>
                          </a:ln>
                        </pic:spPr>
                      </pic:pic>
                    </a:graphicData>
                  </a:graphic>
                </wp:inline>
              </w:drawing>
            </w:r>
            <w:r w:rsidR="006858D8" w:rsidRPr="008070DB">
              <w:rPr>
                <w:rFonts w:ascii="Times New Roman" w:hAnsi="Times New Roman" w:cs="Times New Roman"/>
                <w:sz w:val="18"/>
                <w:szCs w:val="18"/>
              </w:rPr>
              <w:t xml:space="preserve"> </w:t>
            </w:r>
          </w:p>
          <w:p w14:paraId="688C9BD8" w14:textId="0BE7C931" w:rsidR="006858D8" w:rsidRPr="008070DB" w:rsidRDefault="006858D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23286A24" w14:textId="75439FE2" w:rsidR="001A4DE8" w:rsidRPr="008070DB" w:rsidRDefault="001A4DE8" w:rsidP="003456B0">
            <w:pPr>
              <w:pStyle w:val="Default"/>
              <w:jc w:val="both"/>
              <w:rPr>
                <w:rFonts w:ascii="Times New Roman" w:hAnsi="Times New Roman" w:cs="Times New Roman"/>
                <w:sz w:val="18"/>
                <w:szCs w:val="18"/>
              </w:rPr>
            </w:pPr>
          </w:p>
          <w:p w14:paraId="607C99A7"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1B367C4" wp14:editId="0AA0D187">
                  <wp:extent cx="871268" cy="290543"/>
                  <wp:effectExtent l="0" t="0" r="5080" b="0"/>
                  <wp:docPr id="1336639084" name="Picture 133663908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77753" cy="292706"/>
                          </a:xfrm>
                          <a:prstGeom prst="rect">
                            <a:avLst/>
                          </a:prstGeom>
                          <a:noFill/>
                          <a:ln>
                            <a:noFill/>
                          </a:ln>
                        </pic:spPr>
                      </pic:pic>
                    </a:graphicData>
                  </a:graphic>
                </wp:inline>
              </w:drawing>
            </w:r>
            <w:r w:rsidRPr="008070DB">
              <w:rPr>
                <w:rFonts w:ascii="Times New Roman" w:hAnsi="Times New Roman" w:cs="Times New Roman"/>
                <w:sz w:val="18"/>
                <w:szCs w:val="18"/>
              </w:rPr>
              <w:t xml:space="preserve"> = majorarea pentru tipul de marfă de referinţă </w:t>
            </w:r>
            <w:proofErr w:type="gramStart"/>
            <w:r w:rsidRPr="008070DB">
              <w:rPr>
                <w:rFonts w:ascii="Times New Roman" w:hAnsi="Times New Roman" w:cs="Times New Roman"/>
                <w:sz w:val="18"/>
                <w:szCs w:val="18"/>
              </w:rPr>
              <w:t>k;</w:t>
            </w:r>
            <w:proofErr w:type="gramEnd"/>
            <w:r w:rsidRPr="008070DB">
              <w:rPr>
                <w:rFonts w:ascii="Times New Roman" w:hAnsi="Times New Roman" w:cs="Times New Roman"/>
                <w:sz w:val="18"/>
                <w:szCs w:val="18"/>
              </w:rPr>
              <w:t xml:space="preserve"> </w:t>
            </w:r>
          </w:p>
          <w:p w14:paraId="271F8CD0" w14:textId="6E4FB886"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5692DD51" wp14:editId="5B414BE2">
                  <wp:extent cx="457200" cy="179363"/>
                  <wp:effectExtent l="0" t="0" r="0" b="0"/>
                  <wp:docPr id="1298172822" name="Picture 1298172822" descr="A black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39797" name="Picture 61" descr="A black text on a white background  Description automatically generated"/>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8325" cy="187651"/>
                          </a:xfrm>
                          <a:prstGeom prst="rect">
                            <a:avLst/>
                          </a:prstGeom>
                          <a:noFill/>
                        </pic:spPr>
                      </pic:pic>
                    </a:graphicData>
                  </a:graphic>
                </wp:inline>
              </w:drawing>
            </w:r>
            <w:r w:rsidRPr="008070DB">
              <w:rPr>
                <w:rFonts w:ascii="Times New Roman" w:hAnsi="Times New Roman" w:cs="Times New Roman"/>
                <w:sz w:val="18"/>
                <w:szCs w:val="18"/>
              </w:rPr>
              <w:t xml:space="preserve"> = factorul </w:t>
            </w:r>
            <w:r w:rsidR="003A16A0" w:rsidRPr="008070DB">
              <w:rPr>
                <w:rFonts w:ascii="Times New Roman" w:hAnsi="Times New Roman" w:cs="Times New Roman"/>
                <w:sz w:val="18"/>
                <w:szCs w:val="18"/>
              </w:rPr>
              <w:t>stabilit</w:t>
            </w:r>
            <w:r w:rsidRPr="008070DB">
              <w:rPr>
                <w:rFonts w:ascii="Times New Roman" w:hAnsi="Times New Roman" w:cs="Times New Roman"/>
                <w:sz w:val="18"/>
                <w:szCs w:val="18"/>
              </w:rPr>
              <w:t xml:space="preserve"> de Banca Națională a Moldovei aplicabil tipului de marfă de referinţă k. În cazul în care tipul de marfă de referinţă k corespunde unor tranzacţii atribuite setului de acoperire a riscului menţionat la </w:t>
            </w:r>
            <w:r w:rsidR="00930407" w:rsidRPr="008070DB">
              <w:rPr>
                <w:rFonts w:ascii="Times New Roman" w:hAnsi="Times New Roman" w:cs="Times New Roman"/>
                <w:sz w:val="18"/>
                <w:szCs w:val="18"/>
              </w:rPr>
              <w:t xml:space="preserve">punctul </w:t>
            </w:r>
            <w:r w:rsidR="00A67224" w:rsidRPr="008070DB">
              <w:rPr>
                <w:rFonts w:ascii="Times New Roman" w:hAnsi="Times New Roman" w:cs="Times New Roman"/>
                <w:sz w:val="18"/>
                <w:szCs w:val="18"/>
              </w:rPr>
              <w:t>5</w:t>
            </w:r>
            <w:r w:rsidR="00713A0D" w:rsidRPr="008070DB">
              <w:rPr>
                <w:rFonts w:ascii="Times New Roman" w:hAnsi="Times New Roman" w:cs="Times New Roman"/>
                <w:sz w:val="18"/>
                <w:szCs w:val="18"/>
              </w:rPr>
              <w:t>9</w:t>
            </w:r>
            <w:r w:rsidR="00930407" w:rsidRPr="008070DB">
              <w:rPr>
                <w:rFonts w:ascii="Times New Roman" w:hAnsi="Times New Roman" w:cs="Times New Roman"/>
                <w:sz w:val="18"/>
                <w:szCs w:val="18"/>
              </w:rPr>
              <w:t xml:space="preserve"> subpunctul </w:t>
            </w:r>
            <w:r w:rsidR="00A67224" w:rsidRPr="008070DB">
              <w:rPr>
                <w:rFonts w:ascii="Times New Roman" w:hAnsi="Times New Roman" w:cs="Times New Roman"/>
                <w:sz w:val="18"/>
                <w:szCs w:val="18"/>
              </w:rPr>
              <w:t>5</w:t>
            </w:r>
            <w:r w:rsidR="00713A0D" w:rsidRPr="008070DB">
              <w:rPr>
                <w:rFonts w:ascii="Times New Roman" w:hAnsi="Times New Roman" w:cs="Times New Roman"/>
                <w:sz w:val="18"/>
                <w:szCs w:val="18"/>
              </w:rPr>
              <w:t>9</w:t>
            </w:r>
            <w:r w:rsidR="00930407" w:rsidRPr="008070DB">
              <w:rPr>
                <w:rFonts w:ascii="Times New Roman" w:hAnsi="Times New Roman" w:cs="Times New Roman"/>
                <w:sz w:val="18"/>
                <w:szCs w:val="18"/>
              </w:rPr>
              <w:t>.5.</w:t>
            </w:r>
            <w:r w:rsidRPr="008070DB">
              <w:rPr>
                <w:rFonts w:ascii="Times New Roman" w:hAnsi="Times New Roman" w:cs="Times New Roman"/>
                <w:sz w:val="18"/>
                <w:szCs w:val="18"/>
              </w:rPr>
              <w:t xml:space="preserve">, cu excepţia tranzacţiilor privind energia electrică,  </w:t>
            </w:r>
            <w:r w:rsidRPr="008070DB">
              <w:rPr>
                <w:rFonts w:ascii="Times New Roman" w:hAnsi="Times New Roman" w:cs="Times New Roman"/>
                <w:noProof/>
                <w:sz w:val="18"/>
                <w:szCs w:val="18"/>
              </w:rPr>
              <w:drawing>
                <wp:inline distT="0" distB="0" distL="0" distR="0" wp14:anchorId="730906AC" wp14:editId="3C51F211">
                  <wp:extent cx="825094" cy="155276"/>
                  <wp:effectExtent l="0" t="0" r="0" b="0"/>
                  <wp:docPr id="85613773" name="Picture 85613773"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9391" name="Picture 62" descr="A black and white text  Description automatically generated"/>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57227" cy="161323"/>
                          </a:xfrm>
                          <a:prstGeom prst="rect">
                            <a:avLst/>
                          </a:prstGeom>
                          <a:noFill/>
                        </pic:spPr>
                      </pic:pic>
                    </a:graphicData>
                  </a:graphic>
                </wp:inline>
              </w:drawing>
            </w:r>
            <w:r w:rsidRPr="008070DB">
              <w:rPr>
                <w:rFonts w:ascii="Times New Roman" w:hAnsi="Times New Roman" w:cs="Times New Roman"/>
                <w:sz w:val="18"/>
                <w:szCs w:val="18"/>
              </w:rPr>
              <w:t xml:space="preserve">. Pentru tranzacţiile privind energia electrică,  </w:t>
            </w:r>
            <w:r w:rsidRPr="008070DB">
              <w:rPr>
                <w:rFonts w:ascii="Times New Roman" w:hAnsi="Times New Roman" w:cs="Times New Roman"/>
                <w:noProof/>
                <w:sz w:val="18"/>
                <w:szCs w:val="18"/>
              </w:rPr>
              <w:drawing>
                <wp:inline distT="0" distB="0" distL="0" distR="0" wp14:anchorId="2EC03A23" wp14:editId="1F8320E4">
                  <wp:extent cx="854015" cy="160719"/>
                  <wp:effectExtent l="0" t="0" r="3810" b="0"/>
                  <wp:docPr id="237037936" name="Picture 237037936" descr="A black and whit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319568" name="Picture 63" descr="A black and white text  Description automatically generated"/>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885243" cy="166596"/>
                          </a:xfrm>
                          <a:prstGeom prst="rect">
                            <a:avLst/>
                          </a:prstGeom>
                          <a:noFill/>
                        </pic:spPr>
                      </pic:pic>
                    </a:graphicData>
                  </a:graphic>
                </wp:inline>
              </w:drawing>
            </w:r>
            <w:r w:rsidRPr="008070DB">
              <w:rPr>
                <w:rFonts w:ascii="Times New Roman" w:hAnsi="Times New Roman" w:cs="Times New Roman"/>
                <w:sz w:val="18"/>
                <w:szCs w:val="18"/>
              </w:rPr>
              <w:t xml:space="preserve">; și </w:t>
            </w:r>
          </w:p>
          <w:p w14:paraId="0069C5AF"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04918BF2" wp14:editId="5EB27078">
                  <wp:extent cx="763751" cy="232914"/>
                  <wp:effectExtent l="0" t="0" r="0" b="0"/>
                  <wp:docPr id="1197336074" name="Picture 119733607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image"/>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780185" cy="237926"/>
                          </a:xfrm>
                          <a:prstGeom prst="rect">
                            <a:avLst/>
                          </a:prstGeom>
                          <a:noFill/>
                          <a:ln>
                            <a:noFill/>
                          </a:ln>
                        </pic:spPr>
                      </pic:pic>
                    </a:graphicData>
                  </a:graphic>
                </wp:inline>
              </w:drawing>
            </w:r>
            <w:r w:rsidRPr="008070DB">
              <w:rPr>
                <w:rFonts w:ascii="Times New Roman" w:hAnsi="Times New Roman" w:cs="Times New Roman"/>
                <w:sz w:val="18"/>
                <w:szCs w:val="18"/>
              </w:rPr>
              <w:t xml:space="preserve">= valoarea noţională efectivă a tipului de marfă de referinţă k, calculată după cum urmează: </w:t>
            </w:r>
          </w:p>
          <w:p w14:paraId="74D16DF0"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E919637" wp14:editId="323CA807">
                  <wp:extent cx="2380368" cy="295275"/>
                  <wp:effectExtent l="0" t="0" r="1270" b="0"/>
                  <wp:docPr id="1391640404" name="Picture 1391640404" descr="A black and white symbo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28175" name="Picture 65" descr="A black and white symbol  Description automatically generate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423352" cy="300607"/>
                          </a:xfrm>
                          <a:prstGeom prst="rect">
                            <a:avLst/>
                          </a:prstGeom>
                          <a:noFill/>
                        </pic:spPr>
                      </pic:pic>
                    </a:graphicData>
                  </a:graphic>
                </wp:inline>
              </w:drawing>
            </w:r>
          </w:p>
          <w:p w14:paraId="21738634"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67F03E0C"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l = indicele care desemnează poziţia de risc (RiskPosition). </w:t>
            </w:r>
          </w:p>
          <w:p w14:paraId="5DEA3044"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0183A7F"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C9194AA"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E96C760"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2CFC222"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B9CF67D"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9A4C475" w14:textId="676D3CBC"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lastRenderedPageBreak/>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7111A39A" w14:textId="5C06EBAF"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3AF9C6B1" w14:textId="77777777" w:rsidR="001A4DE8" w:rsidRPr="00A96E09" w:rsidRDefault="001A4DE8" w:rsidP="00C14AF6">
            <w:pPr>
              <w:jc w:val="both"/>
              <w:rPr>
                <w:sz w:val="18"/>
                <w:szCs w:val="18"/>
                <w:lang w:val="ro-MD"/>
              </w:rPr>
            </w:pPr>
          </w:p>
        </w:tc>
      </w:tr>
      <w:tr w:rsidR="001A4DE8" w:rsidRPr="00A96E09" w14:paraId="3F3E3AD7" w14:textId="77777777" w:rsidTr="00C14AF6">
        <w:trPr>
          <w:trHeight w:val="918"/>
        </w:trPr>
        <w:tc>
          <w:tcPr>
            <w:tcW w:w="3866" w:type="dxa"/>
          </w:tcPr>
          <w:p w14:paraId="2346646D" w14:textId="1F5EDB1F"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lastRenderedPageBreak/>
              <w:t xml:space="preserve">Articolul 280f </w:t>
            </w:r>
            <w:r w:rsidRPr="00A96E09">
              <w:rPr>
                <w:rFonts w:ascii="Times New Roman" w:hAnsi="Times New Roman"/>
                <w:b/>
                <w:bCs/>
                <w:color w:val="000000"/>
                <w:sz w:val="18"/>
                <w:szCs w:val="18"/>
              </w:rPr>
              <w:t>Majorarea aferentă categoriei alte riscuri</w:t>
            </w:r>
          </w:p>
          <w:p w14:paraId="5E877B6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În sensul articolului 278, instituţiile calculează majorarea aferentă categoriei alte riscuri pentru un anumit set de compensare după cum urmează: </w:t>
            </w:r>
          </w:p>
          <w:p w14:paraId="0E969F3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1CC9D52F" wp14:editId="06043702">
                  <wp:extent cx="1958196" cy="390437"/>
                  <wp:effectExtent l="0" t="0" r="4445" b="0"/>
                  <wp:docPr id="158252368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021634" cy="403086"/>
                          </a:xfrm>
                          <a:prstGeom prst="rect">
                            <a:avLst/>
                          </a:prstGeom>
                          <a:noFill/>
                        </pic:spPr>
                      </pic:pic>
                    </a:graphicData>
                  </a:graphic>
                </wp:inline>
              </w:drawing>
            </w:r>
          </w:p>
          <w:p w14:paraId="43662D8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41ECC71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AddOn</w:t>
            </w:r>
            <w:r w:rsidRPr="00A96E09">
              <w:rPr>
                <w:rFonts w:ascii="Times New Roman" w:hAnsi="Times New Roman"/>
                <w:color w:val="000000"/>
                <w:sz w:val="18"/>
                <w:szCs w:val="18"/>
                <w:vertAlign w:val="superscript"/>
              </w:rPr>
              <w:t xml:space="preserve">Altele </w:t>
            </w:r>
            <w:r w:rsidRPr="00A96E09">
              <w:rPr>
                <w:rFonts w:ascii="Times New Roman" w:hAnsi="Times New Roman"/>
                <w:color w:val="000000"/>
                <w:sz w:val="18"/>
                <w:szCs w:val="18"/>
              </w:rPr>
              <w:t xml:space="preserve">= majorarea aferentă categoriei alte </w:t>
            </w:r>
            <w:proofErr w:type="gramStart"/>
            <w:r w:rsidRPr="00A96E09">
              <w:rPr>
                <w:rFonts w:ascii="Times New Roman" w:hAnsi="Times New Roman"/>
                <w:color w:val="000000"/>
                <w:sz w:val="18"/>
                <w:szCs w:val="18"/>
              </w:rPr>
              <w:t>riscuri;</w:t>
            </w:r>
            <w:proofErr w:type="gramEnd"/>
            <w:r w:rsidRPr="00A96E09">
              <w:rPr>
                <w:rFonts w:ascii="Times New Roman" w:hAnsi="Times New Roman"/>
                <w:color w:val="000000"/>
                <w:sz w:val="18"/>
                <w:szCs w:val="18"/>
              </w:rPr>
              <w:t xml:space="preserve"> </w:t>
            </w:r>
          </w:p>
          <w:p w14:paraId="339EA8A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j = indicele care desemnează seturile de acoperire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altor riscuri stabilite în conformitate cu articolul 277a alineatul (1) litera (f) și cu articolul 277a alineatul (2) pentru setul de compensare; și </w:t>
            </w:r>
          </w:p>
          <w:p w14:paraId="68B8ECB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6ABEED6A" wp14:editId="39A6E35C">
                  <wp:extent cx="715992" cy="231486"/>
                  <wp:effectExtent l="0" t="0" r="8255" b="0"/>
                  <wp:docPr id="43327031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30858" cy="236292"/>
                          </a:xfrm>
                          <a:prstGeom prst="rect">
                            <a:avLst/>
                          </a:prstGeom>
                          <a:noFill/>
                        </pic:spPr>
                      </pic:pic>
                    </a:graphicData>
                  </a:graphic>
                </wp:inline>
              </w:drawing>
            </w:r>
            <w:r w:rsidRPr="00A96E09">
              <w:rPr>
                <w:rFonts w:ascii="Times New Roman" w:hAnsi="Times New Roman"/>
                <w:color w:val="000000"/>
                <w:sz w:val="18"/>
                <w:szCs w:val="18"/>
              </w:rPr>
              <w:t xml:space="preserve">= majorarea aferentă categoriei alte riscuri pentru setul de acoperire a riscului j calculat în conformitate cu alineatul (2). </w:t>
            </w:r>
          </w:p>
          <w:p w14:paraId="195D8DA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Instituţiile calculează majorarea aferentă categoriei alte riscuri pentru setul de acoperire a riscului j după cum urmează: </w:t>
            </w:r>
          </w:p>
          <w:p w14:paraId="35103ED3" w14:textId="77777777" w:rsidR="001A4DE8" w:rsidRPr="00A96E09" w:rsidRDefault="001A4DE8" w:rsidP="003456B0">
            <w:pPr>
              <w:pStyle w:val="Default"/>
              <w:jc w:val="both"/>
              <w:rPr>
                <w:rFonts w:ascii="Times New Roman" w:hAnsi="Times New Roman" w:cs="Times New Roman"/>
                <w:sz w:val="18"/>
                <w:szCs w:val="18"/>
              </w:rPr>
            </w:pPr>
            <w:r w:rsidRPr="00A96E09">
              <w:rPr>
                <w:rFonts w:ascii="Times New Roman" w:hAnsi="Times New Roman" w:cs="Times New Roman"/>
                <w:noProof/>
                <w:sz w:val="18"/>
                <w:szCs w:val="18"/>
              </w:rPr>
              <w:drawing>
                <wp:inline distT="0" distB="0" distL="0" distR="0" wp14:anchorId="526D10D2" wp14:editId="3D2B1E4F">
                  <wp:extent cx="2360508" cy="241540"/>
                  <wp:effectExtent l="0" t="0" r="1905" b="6350"/>
                  <wp:docPr id="596757176" name="Picture 6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419682" cy="247595"/>
                          </a:xfrm>
                          <a:prstGeom prst="rect">
                            <a:avLst/>
                          </a:prstGeom>
                          <a:noFill/>
                          <a:ln>
                            <a:noFill/>
                          </a:ln>
                        </pic:spPr>
                      </pic:pic>
                    </a:graphicData>
                  </a:graphic>
                </wp:inline>
              </w:drawing>
            </w:r>
          </w:p>
          <w:p w14:paraId="4B46E17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79458B7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3A368442" wp14:editId="587C9D5C">
                  <wp:extent cx="729040" cy="232913"/>
                  <wp:effectExtent l="0" t="0" r="0" b="0"/>
                  <wp:docPr id="1448408612" name="Picture 6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43093" cy="237403"/>
                          </a:xfrm>
                          <a:prstGeom prst="rect">
                            <a:avLst/>
                          </a:prstGeom>
                          <a:noFill/>
                          <a:ln>
                            <a:noFill/>
                          </a:ln>
                        </pic:spPr>
                      </pic:pic>
                    </a:graphicData>
                  </a:graphic>
                </wp:inline>
              </w:drawing>
            </w:r>
            <w:r w:rsidRPr="00A96E09">
              <w:rPr>
                <w:rFonts w:ascii="Times New Roman" w:hAnsi="Times New Roman"/>
                <w:color w:val="000000"/>
                <w:sz w:val="18"/>
                <w:szCs w:val="18"/>
              </w:rPr>
              <w:t xml:space="preserve">= majorarea aferentă categoriei alte riscuri pentru setul de acoperire a riscului </w:t>
            </w:r>
            <w:proofErr w:type="gramStart"/>
            <w:r w:rsidRPr="00A96E09">
              <w:rPr>
                <w:rFonts w:ascii="Times New Roman" w:hAnsi="Times New Roman"/>
                <w:color w:val="000000"/>
                <w:sz w:val="18"/>
                <w:szCs w:val="18"/>
              </w:rPr>
              <w:t>j;</w:t>
            </w:r>
            <w:proofErr w:type="gramEnd"/>
            <w:r w:rsidRPr="00A96E09">
              <w:rPr>
                <w:rFonts w:ascii="Times New Roman" w:hAnsi="Times New Roman"/>
                <w:color w:val="000000"/>
                <w:sz w:val="18"/>
                <w:szCs w:val="18"/>
              </w:rPr>
              <w:t xml:space="preserve"> </w:t>
            </w:r>
          </w:p>
          <w:p w14:paraId="3C09B0D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є</w:t>
            </w:r>
            <w:r w:rsidRPr="00A96E09">
              <w:rPr>
                <w:rFonts w:ascii="Times New Roman" w:hAnsi="Times New Roman"/>
                <w:color w:val="000000"/>
                <w:sz w:val="18"/>
                <w:szCs w:val="18"/>
                <w:vertAlign w:val="subscript"/>
              </w:rPr>
              <w:t>j</w:t>
            </w:r>
            <w:r w:rsidRPr="00A96E09">
              <w:rPr>
                <w:rFonts w:ascii="Times New Roman" w:hAnsi="Times New Roman"/>
                <w:color w:val="000000"/>
                <w:sz w:val="18"/>
                <w:szCs w:val="18"/>
              </w:rPr>
              <w:t xml:space="preserve"> = coeficientul factorului impus de autorităţile de suprave- ghere aferent setului de acoperire a riscului pentru setul de acoperire a riscului j determinat în conformitate cu articolul 280; și </w:t>
            </w:r>
          </w:p>
          <w:p w14:paraId="72DF65BD" w14:textId="469E254C"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SF</w:t>
            </w:r>
            <w:r w:rsidRPr="00A96E09">
              <w:rPr>
                <w:rFonts w:ascii="Times New Roman" w:hAnsi="Times New Roman"/>
                <w:color w:val="000000"/>
                <w:sz w:val="18"/>
                <w:szCs w:val="18"/>
                <w:vertAlign w:val="superscript"/>
              </w:rPr>
              <w:t>Altele</w:t>
            </w:r>
            <w:r w:rsidRPr="00A96E09">
              <w:rPr>
                <w:rFonts w:ascii="Times New Roman" w:hAnsi="Times New Roman"/>
                <w:color w:val="000000"/>
                <w:sz w:val="18"/>
                <w:szCs w:val="18"/>
              </w:rPr>
              <w:t xml:space="preserve"> = factorul impus de autorităţile de supraveghere pentru categoria alte riscuri cu o valoare egală cu </w:t>
            </w:r>
            <w:proofErr w:type="gramStart"/>
            <w:r w:rsidRPr="00A96E09">
              <w:rPr>
                <w:rFonts w:ascii="Times New Roman" w:hAnsi="Times New Roman"/>
                <w:color w:val="000000"/>
                <w:sz w:val="18"/>
                <w:szCs w:val="18"/>
              </w:rPr>
              <w:t>8 %;</w:t>
            </w:r>
            <w:proofErr w:type="gramEnd"/>
            <w:r w:rsidRPr="00A96E09">
              <w:rPr>
                <w:rFonts w:ascii="Times New Roman" w:hAnsi="Times New Roman"/>
                <w:color w:val="000000"/>
                <w:sz w:val="18"/>
                <w:szCs w:val="18"/>
              </w:rPr>
              <w:t xml:space="preserve"> </w:t>
            </w:r>
          </w:p>
          <w:p w14:paraId="7F4EF19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sz w:val="18"/>
                <w:szCs w:val="18"/>
              </w:rPr>
              <w:drawing>
                <wp:inline distT="0" distB="0" distL="0" distR="0" wp14:anchorId="3FADB3E7" wp14:editId="05DB8AD3">
                  <wp:extent cx="836762" cy="278775"/>
                  <wp:effectExtent l="0" t="0" r="1905" b="6985"/>
                  <wp:docPr id="36189790" name="Picture 7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43709" cy="281089"/>
                          </a:xfrm>
                          <a:prstGeom prst="rect">
                            <a:avLst/>
                          </a:prstGeom>
                          <a:noFill/>
                          <a:ln>
                            <a:noFill/>
                          </a:ln>
                        </pic:spPr>
                      </pic:pic>
                    </a:graphicData>
                  </a:graphic>
                </wp:inline>
              </w:drawing>
            </w:r>
            <w:r w:rsidRPr="00A96E09">
              <w:rPr>
                <w:rFonts w:ascii="Times New Roman" w:hAnsi="Times New Roman"/>
                <w:color w:val="000000"/>
                <w:sz w:val="18"/>
                <w:szCs w:val="18"/>
              </w:rPr>
              <w:t xml:space="preserve">= valoarea noţională efectivă a setului de acoperire a riscului j, calculată după cum urmează: </w:t>
            </w:r>
          </w:p>
          <w:p w14:paraId="1296A69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52697553" wp14:editId="32C6E598">
                  <wp:extent cx="2541739" cy="310551"/>
                  <wp:effectExtent l="0" t="0" r="0" b="0"/>
                  <wp:docPr id="183766834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671946" cy="326460"/>
                          </a:xfrm>
                          <a:prstGeom prst="rect">
                            <a:avLst/>
                          </a:prstGeom>
                          <a:noFill/>
                        </pic:spPr>
                      </pic:pic>
                    </a:graphicData>
                  </a:graphic>
                </wp:inline>
              </w:drawing>
            </w:r>
          </w:p>
          <w:p w14:paraId="3881B10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1F268F3" w14:textId="522EA4D1" w:rsidR="001A4DE8" w:rsidRPr="009634ED"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l = indicele care desemnează poziţia de risc (RiskPosition). </w:t>
            </w:r>
          </w:p>
        </w:tc>
        <w:tc>
          <w:tcPr>
            <w:tcW w:w="4356" w:type="dxa"/>
          </w:tcPr>
          <w:p w14:paraId="1362B60A" w14:textId="05306478" w:rsidR="001A4DE8" w:rsidRPr="008070DB" w:rsidRDefault="001A4DE8" w:rsidP="003456B0">
            <w:pPr>
              <w:pStyle w:val="CM4"/>
              <w:spacing w:before="60" w:after="60"/>
              <w:jc w:val="both"/>
              <w:rPr>
                <w:rFonts w:ascii="Times New Roman" w:hAnsi="Times New Roman"/>
                <w:i/>
                <w:iCs/>
                <w:color w:val="000000"/>
                <w:sz w:val="18"/>
                <w:szCs w:val="18"/>
              </w:rPr>
            </w:pPr>
            <w:r w:rsidRPr="008070DB">
              <w:rPr>
                <w:rFonts w:ascii="Times New Roman" w:hAnsi="Times New Roman"/>
                <w:i/>
                <w:iCs/>
                <w:color w:val="000000"/>
                <w:sz w:val="18"/>
                <w:szCs w:val="18"/>
              </w:rPr>
              <w:lastRenderedPageBreak/>
              <w:t>Secțiunea a 15-a</w:t>
            </w:r>
          </w:p>
          <w:p w14:paraId="4CEE4B7D" w14:textId="77777777" w:rsidR="001A4DE8" w:rsidRPr="008070DB" w:rsidRDefault="001A4DE8" w:rsidP="003456B0">
            <w:pPr>
              <w:pStyle w:val="Default"/>
              <w:jc w:val="both"/>
              <w:rPr>
                <w:rFonts w:ascii="Times New Roman" w:hAnsi="Times New Roman" w:cs="Times New Roman"/>
                <w:b/>
                <w:bCs/>
                <w:sz w:val="18"/>
                <w:szCs w:val="18"/>
              </w:rPr>
            </w:pPr>
            <w:r w:rsidRPr="008070DB">
              <w:rPr>
                <w:rFonts w:ascii="Times New Roman" w:hAnsi="Times New Roman" w:cs="Times New Roman"/>
                <w:b/>
                <w:bCs/>
                <w:sz w:val="18"/>
                <w:szCs w:val="18"/>
              </w:rPr>
              <w:t>Majorarea aferentă categoriei alte riscuri</w:t>
            </w:r>
          </w:p>
          <w:p w14:paraId="6CD2DA8A" w14:textId="328C875A" w:rsidR="001A4DE8" w:rsidRPr="008070DB" w:rsidRDefault="00A67224"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w:t>
            </w:r>
            <w:r w:rsidR="00E95C5D" w:rsidRPr="008070DB">
              <w:rPr>
                <w:rFonts w:ascii="Times New Roman" w:hAnsi="Times New Roman" w:cs="Times New Roman"/>
                <w:b/>
                <w:bCs/>
                <w:sz w:val="18"/>
                <w:szCs w:val="18"/>
              </w:rPr>
              <w:t>7</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În sensul punctelor </w:t>
            </w:r>
            <w:r w:rsidRPr="008070DB">
              <w:rPr>
                <w:rFonts w:ascii="Times New Roman" w:hAnsi="Times New Roman" w:cs="Times New Roman"/>
                <w:sz w:val="18"/>
                <w:szCs w:val="18"/>
              </w:rPr>
              <w:t>66</w:t>
            </w:r>
            <w:r w:rsidR="00930407" w:rsidRPr="008070DB">
              <w:rPr>
                <w:rFonts w:ascii="Times New Roman" w:hAnsi="Times New Roman" w:cs="Times New Roman"/>
                <w:sz w:val="18"/>
                <w:szCs w:val="18"/>
              </w:rPr>
              <w:t>-</w:t>
            </w:r>
            <w:r w:rsidRPr="008070DB">
              <w:rPr>
                <w:rFonts w:ascii="Times New Roman" w:hAnsi="Times New Roman" w:cs="Times New Roman"/>
                <w:sz w:val="18"/>
                <w:szCs w:val="18"/>
              </w:rPr>
              <w:t>6</w:t>
            </w:r>
            <w:r w:rsidR="00E95C5D" w:rsidRPr="008070DB">
              <w:rPr>
                <w:rFonts w:ascii="Times New Roman" w:hAnsi="Times New Roman" w:cs="Times New Roman"/>
                <w:sz w:val="18"/>
                <w:szCs w:val="18"/>
              </w:rPr>
              <w:t>8</w:t>
            </w:r>
            <w:r w:rsidR="001A4DE8" w:rsidRPr="008070DB">
              <w:rPr>
                <w:rFonts w:ascii="Times New Roman" w:hAnsi="Times New Roman" w:cs="Times New Roman"/>
                <w:sz w:val="18"/>
                <w:szCs w:val="18"/>
              </w:rPr>
              <w:t xml:space="preserve">, băncile calculează majorarea aferentă categoriei alte riscuri pentru un anumit set de compensare după cum urmează: </w:t>
            </w:r>
          </w:p>
          <w:p w14:paraId="7016E20E"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3F06F709" wp14:editId="093FF5AE">
                  <wp:extent cx="2424023" cy="483317"/>
                  <wp:effectExtent l="0" t="0" r="0" b="0"/>
                  <wp:docPr id="1331165453" name="Picture 1331165453" descr="A black symbol with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3686" name="Picture 66" descr="A black symbol with a white background  Description automatically generated"/>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461740" cy="490837"/>
                          </a:xfrm>
                          <a:prstGeom prst="rect">
                            <a:avLst/>
                          </a:prstGeom>
                          <a:noFill/>
                        </pic:spPr>
                      </pic:pic>
                    </a:graphicData>
                  </a:graphic>
                </wp:inline>
              </w:drawing>
            </w:r>
          </w:p>
          <w:p w14:paraId="38EB3217"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31ED71B3"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AddOn</w:t>
            </w:r>
            <w:r w:rsidRPr="008070DB">
              <w:rPr>
                <w:rFonts w:ascii="Times New Roman" w:hAnsi="Times New Roman" w:cs="Times New Roman"/>
                <w:sz w:val="18"/>
                <w:szCs w:val="18"/>
                <w:vertAlign w:val="superscript"/>
              </w:rPr>
              <w:t>Altele</w:t>
            </w:r>
            <w:r w:rsidRPr="008070DB">
              <w:rPr>
                <w:rFonts w:ascii="Times New Roman" w:hAnsi="Times New Roman" w:cs="Times New Roman"/>
                <w:sz w:val="18"/>
                <w:szCs w:val="18"/>
              </w:rPr>
              <w:t xml:space="preserve"> = majorarea aferentă categoriei alte </w:t>
            </w:r>
            <w:proofErr w:type="gramStart"/>
            <w:r w:rsidRPr="008070DB">
              <w:rPr>
                <w:rFonts w:ascii="Times New Roman" w:hAnsi="Times New Roman" w:cs="Times New Roman"/>
                <w:sz w:val="18"/>
                <w:szCs w:val="18"/>
              </w:rPr>
              <w:t>riscuri;</w:t>
            </w:r>
            <w:proofErr w:type="gramEnd"/>
            <w:r w:rsidRPr="008070DB">
              <w:rPr>
                <w:rFonts w:ascii="Times New Roman" w:hAnsi="Times New Roman" w:cs="Times New Roman"/>
                <w:sz w:val="18"/>
                <w:szCs w:val="18"/>
              </w:rPr>
              <w:t xml:space="preserve"> </w:t>
            </w:r>
          </w:p>
          <w:p w14:paraId="7D2FB598" w14:textId="0366F102"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j = indicele care desemnează seturile de acoperire </w:t>
            </w:r>
            <w:proofErr w:type="gramStart"/>
            <w:r w:rsidRPr="008070DB">
              <w:rPr>
                <w:rFonts w:ascii="Times New Roman" w:hAnsi="Times New Roman" w:cs="Times New Roman"/>
                <w:sz w:val="18"/>
                <w:szCs w:val="18"/>
              </w:rPr>
              <w:t>a</w:t>
            </w:r>
            <w:proofErr w:type="gramEnd"/>
            <w:r w:rsidRPr="008070DB">
              <w:rPr>
                <w:rFonts w:ascii="Times New Roman" w:hAnsi="Times New Roman" w:cs="Times New Roman"/>
                <w:sz w:val="18"/>
                <w:szCs w:val="18"/>
              </w:rPr>
              <w:t xml:space="preserve"> altor riscuri stabilite în conformitate </w:t>
            </w:r>
            <w:r w:rsidR="00930407" w:rsidRPr="008070DB">
              <w:rPr>
                <w:rFonts w:ascii="Times New Roman" w:hAnsi="Times New Roman" w:cs="Times New Roman"/>
                <w:sz w:val="18"/>
                <w:szCs w:val="18"/>
              </w:rPr>
              <w:t xml:space="preserve">cu punctul </w:t>
            </w:r>
            <w:r w:rsidR="00A67224" w:rsidRPr="008070DB">
              <w:rPr>
                <w:rFonts w:ascii="Times New Roman" w:hAnsi="Times New Roman" w:cs="Times New Roman"/>
                <w:sz w:val="18"/>
                <w:szCs w:val="18"/>
              </w:rPr>
              <w:t>5</w:t>
            </w:r>
            <w:r w:rsidR="00E95C5D" w:rsidRPr="008070DB">
              <w:rPr>
                <w:rFonts w:ascii="Times New Roman" w:hAnsi="Times New Roman" w:cs="Times New Roman"/>
                <w:sz w:val="18"/>
                <w:szCs w:val="18"/>
              </w:rPr>
              <w:t>9</w:t>
            </w:r>
            <w:r w:rsidR="00930407" w:rsidRPr="008070DB">
              <w:rPr>
                <w:rFonts w:ascii="Times New Roman" w:hAnsi="Times New Roman" w:cs="Times New Roman"/>
                <w:sz w:val="18"/>
                <w:szCs w:val="18"/>
              </w:rPr>
              <w:t xml:space="preserve"> subpunctul </w:t>
            </w:r>
            <w:r w:rsidR="00A67224" w:rsidRPr="008070DB">
              <w:rPr>
                <w:rFonts w:ascii="Times New Roman" w:hAnsi="Times New Roman" w:cs="Times New Roman"/>
                <w:sz w:val="18"/>
                <w:szCs w:val="18"/>
              </w:rPr>
              <w:t>5</w:t>
            </w:r>
            <w:r w:rsidR="00E95C5D" w:rsidRPr="008070DB">
              <w:rPr>
                <w:rFonts w:ascii="Times New Roman" w:hAnsi="Times New Roman" w:cs="Times New Roman"/>
                <w:sz w:val="18"/>
                <w:szCs w:val="18"/>
              </w:rPr>
              <w:t>9</w:t>
            </w:r>
            <w:r w:rsidR="00930407" w:rsidRPr="008070DB">
              <w:rPr>
                <w:rFonts w:ascii="Times New Roman" w:hAnsi="Times New Roman" w:cs="Times New Roman"/>
                <w:sz w:val="18"/>
                <w:szCs w:val="18"/>
              </w:rPr>
              <w:t xml:space="preserve">.6. și punctelor </w:t>
            </w:r>
            <w:r w:rsidR="00A67224" w:rsidRPr="008070DB">
              <w:rPr>
                <w:rFonts w:ascii="Times New Roman" w:hAnsi="Times New Roman" w:cs="Times New Roman"/>
                <w:sz w:val="18"/>
                <w:szCs w:val="18"/>
              </w:rPr>
              <w:t>6</w:t>
            </w:r>
            <w:r w:rsidR="00E95C5D" w:rsidRPr="008070DB">
              <w:rPr>
                <w:rFonts w:ascii="Times New Roman" w:hAnsi="Times New Roman" w:cs="Times New Roman"/>
                <w:sz w:val="18"/>
                <w:szCs w:val="18"/>
              </w:rPr>
              <w:t>1</w:t>
            </w:r>
            <w:r w:rsidR="00930407" w:rsidRPr="008070DB">
              <w:rPr>
                <w:rFonts w:ascii="Times New Roman" w:hAnsi="Times New Roman" w:cs="Times New Roman"/>
                <w:sz w:val="18"/>
                <w:szCs w:val="18"/>
              </w:rPr>
              <w:t>-</w:t>
            </w:r>
            <w:r w:rsidR="00A67224" w:rsidRPr="008070DB">
              <w:rPr>
                <w:rFonts w:ascii="Times New Roman" w:hAnsi="Times New Roman" w:cs="Times New Roman"/>
                <w:sz w:val="18"/>
                <w:szCs w:val="18"/>
              </w:rPr>
              <w:t>6</w:t>
            </w:r>
            <w:r w:rsidR="00E95C5D" w:rsidRPr="008070DB">
              <w:rPr>
                <w:rFonts w:ascii="Times New Roman" w:hAnsi="Times New Roman" w:cs="Times New Roman"/>
                <w:sz w:val="18"/>
                <w:szCs w:val="18"/>
              </w:rPr>
              <w:t>4</w:t>
            </w:r>
            <w:r w:rsidR="00930407" w:rsidRPr="008070DB">
              <w:rPr>
                <w:rFonts w:ascii="Times New Roman" w:hAnsi="Times New Roman" w:cs="Times New Roman"/>
                <w:sz w:val="18"/>
                <w:szCs w:val="18"/>
              </w:rPr>
              <w:t xml:space="preserve"> </w:t>
            </w:r>
            <w:r w:rsidRPr="008070DB">
              <w:rPr>
                <w:rFonts w:ascii="Times New Roman" w:hAnsi="Times New Roman" w:cs="Times New Roman"/>
                <w:sz w:val="18"/>
                <w:szCs w:val="18"/>
              </w:rPr>
              <w:t xml:space="preserve">pentru setul de compensare; și </w:t>
            </w:r>
          </w:p>
          <w:p w14:paraId="2A5672B2" w14:textId="3592C404"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5C0CCC7" wp14:editId="007CF3D2">
                  <wp:extent cx="715992" cy="231486"/>
                  <wp:effectExtent l="0" t="0" r="8255" b="0"/>
                  <wp:docPr id="824957481" name="Picture 82495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30858" cy="236292"/>
                          </a:xfrm>
                          <a:prstGeom prst="rect">
                            <a:avLst/>
                          </a:prstGeom>
                          <a:noFill/>
                        </pic:spPr>
                      </pic:pic>
                    </a:graphicData>
                  </a:graphic>
                </wp:inline>
              </w:drawing>
            </w:r>
            <w:r w:rsidRPr="008070DB">
              <w:rPr>
                <w:rFonts w:ascii="Times New Roman" w:hAnsi="Times New Roman" w:cs="Times New Roman"/>
                <w:sz w:val="18"/>
                <w:szCs w:val="18"/>
              </w:rPr>
              <w:t xml:space="preserve">= majorarea aferentă categoriei alte riscuri pentru setul de acoperire a riscului j calculat în conformitate cu punctul </w:t>
            </w:r>
            <w:r w:rsidR="00A67224" w:rsidRPr="008070DB">
              <w:rPr>
                <w:rFonts w:ascii="Times New Roman" w:hAnsi="Times New Roman" w:cs="Times New Roman"/>
                <w:sz w:val="18"/>
                <w:szCs w:val="18"/>
              </w:rPr>
              <w:t>9</w:t>
            </w:r>
            <w:r w:rsidR="00E95C5D" w:rsidRPr="008070DB">
              <w:rPr>
                <w:rFonts w:ascii="Times New Roman" w:hAnsi="Times New Roman" w:cs="Times New Roman"/>
                <w:sz w:val="18"/>
                <w:szCs w:val="18"/>
              </w:rPr>
              <w:t>8</w:t>
            </w:r>
            <w:r w:rsidRPr="008070DB">
              <w:rPr>
                <w:rFonts w:ascii="Times New Roman" w:hAnsi="Times New Roman" w:cs="Times New Roman"/>
                <w:sz w:val="18"/>
                <w:szCs w:val="18"/>
              </w:rPr>
              <w:t xml:space="preserve">. </w:t>
            </w:r>
          </w:p>
          <w:p w14:paraId="517ACE7C" w14:textId="137E6B1F" w:rsidR="001A4DE8" w:rsidRPr="008070DB" w:rsidRDefault="00A67224" w:rsidP="003456B0">
            <w:pPr>
              <w:pStyle w:val="Default"/>
              <w:jc w:val="both"/>
              <w:rPr>
                <w:rFonts w:ascii="Times New Roman" w:hAnsi="Times New Roman" w:cs="Times New Roman"/>
                <w:sz w:val="18"/>
                <w:szCs w:val="18"/>
              </w:rPr>
            </w:pPr>
            <w:r w:rsidRPr="008070DB">
              <w:rPr>
                <w:rFonts w:ascii="Times New Roman" w:hAnsi="Times New Roman" w:cs="Times New Roman"/>
                <w:b/>
                <w:bCs/>
                <w:sz w:val="18"/>
                <w:szCs w:val="18"/>
              </w:rPr>
              <w:t>9</w:t>
            </w:r>
            <w:r w:rsidR="00E95C5D" w:rsidRPr="008070DB">
              <w:rPr>
                <w:rFonts w:ascii="Times New Roman" w:hAnsi="Times New Roman" w:cs="Times New Roman"/>
                <w:b/>
                <w:bCs/>
                <w:sz w:val="18"/>
                <w:szCs w:val="18"/>
              </w:rPr>
              <w:t>8</w:t>
            </w:r>
            <w:r w:rsidR="001A4DE8" w:rsidRPr="008070DB">
              <w:rPr>
                <w:rFonts w:ascii="Times New Roman" w:hAnsi="Times New Roman" w:cs="Times New Roman"/>
                <w:b/>
                <w:bCs/>
                <w:sz w:val="18"/>
                <w:szCs w:val="18"/>
              </w:rPr>
              <w:t>.</w:t>
            </w:r>
            <w:r w:rsidR="001A4DE8" w:rsidRPr="008070DB">
              <w:rPr>
                <w:rFonts w:ascii="Times New Roman" w:hAnsi="Times New Roman" w:cs="Times New Roman"/>
                <w:sz w:val="18"/>
                <w:szCs w:val="18"/>
              </w:rPr>
              <w:t xml:space="preserve"> Băncile calculează majorarea aferentă categoriei alte riscuri pentru setul de acoperire a riscului j după cum urmează: </w:t>
            </w:r>
          </w:p>
          <w:p w14:paraId="44C6CF6C" w14:textId="77777777" w:rsidR="00232A60" w:rsidRPr="00232A60" w:rsidRDefault="00232A60" w:rsidP="00232A60">
            <w:pPr>
              <w:ind w:firstLine="567"/>
              <w:jc w:val="center"/>
              <w:rPr>
                <w:b/>
                <w:bCs/>
                <w:sz w:val="18"/>
                <w:szCs w:val="18"/>
                <w:lang w:val="en-US" w:eastAsia="ro-MD"/>
              </w:rPr>
            </w:pPr>
            <w:bookmarkStart w:id="17" w:name="_Hlk222390887"/>
            <w:r w:rsidRPr="00232A60">
              <w:rPr>
                <w:b/>
                <w:bCs/>
                <w:sz w:val="18"/>
                <w:szCs w:val="18"/>
                <w:lang w:val="en-US" w:eastAsia="ro-MD"/>
              </w:rPr>
              <w:t>AddOn</w:t>
            </w:r>
            <w:r w:rsidRPr="00232A60">
              <w:rPr>
                <w:b/>
                <w:bCs/>
                <w:sz w:val="18"/>
                <w:szCs w:val="18"/>
                <w:vertAlign w:val="subscript"/>
                <w:lang w:val="en-US" w:eastAsia="ro-MD"/>
              </w:rPr>
              <w:t>j</w:t>
            </w:r>
            <w:r w:rsidRPr="00232A60">
              <w:rPr>
                <w:b/>
                <w:bCs/>
                <w:sz w:val="18"/>
                <w:szCs w:val="18"/>
                <w:vertAlign w:val="superscript"/>
                <w:lang w:val="en-US" w:eastAsia="ro-MD"/>
              </w:rPr>
              <w:t>Altele</w:t>
            </w:r>
            <w:r w:rsidRPr="00232A60">
              <w:rPr>
                <w:b/>
                <w:bCs/>
                <w:sz w:val="18"/>
                <w:szCs w:val="18"/>
                <w:lang w:val="en-US" w:eastAsia="ro-MD"/>
              </w:rPr>
              <w:t xml:space="preserve"> = </w:t>
            </w:r>
            <w:r w:rsidRPr="00232A60">
              <w:rPr>
                <w:b/>
                <w:bCs/>
                <w:sz w:val="18"/>
                <w:szCs w:val="18"/>
                <w:lang w:eastAsia="ro-MD"/>
              </w:rPr>
              <w:t>є</w:t>
            </w:r>
            <w:r w:rsidRPr="00232A60">
              <w:rPr>
                <w:b/>
                <w:bCs/>
                <w:sz w:val="18"/>
                <w:szCs w:val="18"/>
                <w:lang w:val="en-US" w:eastAsia="ro-MD"/>
              </w:rPr>
              <w:t>j · SF</w:t>
            </w:r>
            <w:r w:rsidRPr="00232A60">
              <w:rPr>
                <w:b/>
                <w:bCs/>
                <w:sz w:val="18"/>
                <w:szCs w:val="18"/>
                <w:vertAlign w:val="superscript"/>
                <w:lang w:val="en-US" w:eastAsia="ro-MD"/>
              </w:rPr>
              <w:t>Altele</w:t>
            </w:r>
            <w:r w:rsidRPr="00232A60">
              <w:rPr>
                <w:b/>
                <w:bCs/>
                <w:sz w:val="18"/>
                <w:szCs w:val="18"/>
                <w:lang w:val="en-US" w:eastAsia="ro-MD"/>
              </w:rPr>
              <w:t xml:space="preserve"> ·│ EffNot</w:t>
            </w:r>
            <w:r w:rsidRPr="00232A60">
              <w:rPr>
                <w:b/>
                <w:bCs/>
                <w:sz w:val="18"/>
                <w:szCs w:val="18"/>
                <w:vertAlign w:val="subscript"/>
                <w:lang w:val="en-US" w:eastAsia="ro-MD"/>
              </w:rPr>
              <w:t>j</w:t>
            </w:r>
            <w:r w:rsidRPr="00232A60">
              <w:rPr>
                <w:b/>
                <w:bCs/>
                <w:sz w:val="18"/>
                <w:szCs w:val="18"/>
                <w:vertAlign w:val="superscript"/>
                <w:lang w:val="en-US" w:eastAsia="ro-MD"/>
              </w:rPr>
              <w:t>Altele</w:t>
            </w:r>
            <w:r w:rsidRPr="00232A60">
              <w:rPr>
                <w:b/>
                <w:bCs/>
                <w:sz w:val="18"/>
                <w:szCs w:val="18"/>
                <w:lang w:val="en-US" w:eastAsia="ro-MD"/>
              </w:rPr>
              <w:t xml:space="preserve"> │</w:t>
            </w:r>
          </w:p>
          <w:bookmarkEnd w:id="17"/>
          <w:p w14:paraId="6F50513F" w14:textId="28C91211" w:rsidR="001A4DE8" w:rsidRPr="008070DB" w:rsidRDefault="001A4DE8" w:rsidP="003456B0">
            <w:pPr>
              <w:pStyle w:val="Default"/>
              <w:jc w:val="both"/>
              <w:rPr>
                <w:rFonts w:ascii="Times New Roman" w:hAnsi="Times New Roman" w:cs="Times New Roman"/>
                <w:sz w:val="18"/>
                <w:szCs w:val="18"/>
              </w:rPr>
            </w:pPr>
          </w:p>
          <w:p w14:paraId="7749D4CB"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66757A23"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405539B9" wp14:editId="2094455A">
                  <wp:extent cx="729040" cy="232913"/>
                  <wp:effectExtent l="0" t="0" r="0" b="0"/>
                  <wp:docPr id="1847101461" name="Picture 184710146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43093" cy="237403"/>
                          </a:xfrm>
                          <a:prstGeom prst="rect">
                            <a:avLst/>
                          </a:prstGeom>
                          <a:noFill/>
                          <a:ln>
                            <a:noFill/>
                          </a:ln>
                        </pic:spPr>
                      </pic:pic>
                    </a:graphicData>
                  </a:graphic>
                </wp:inline>
              </w:drawing>
            </w:r>
            <w:r w:rsidRPr="008070DB">
              <w:rPr>
                <w:rFonts w:ascii="Times New Roman" w:hAnsi="Times New Roman" w:cs="Times New Roman"/>
                <w:sz w:val="18"/>
                <w:szCs w:val="18"/>
              </w:rPr>
              <w:t xml:space="preserve">= majorarea aferentă categoriei alte riscuri pentru setul de acoperire a riscului </w:t>
            </w:r>
            <w:proofErr w:type="gramStart"/>
            <w:r w:rsidRPr="008070DB">
              <w:rPr>
                <w:rFonts w:ascii="Times New Roman" w:hAnsi="Times New Roman" w:cs="Times New Roman"/>
                <w:sz w:val="18"/>
                <w:szCs w:val="18"/>
              </w:rPr>
              <w:t>j;</w:t>
            </w:r>
            <w:proofErr w:type="gramEnd"/>
            <w:r w:rsidRPr="008070DB">
              <w:rPr>
                <w:rFonts w:ascii="Times New Roman" w:hAnsi="Times New Roman" w:cs="Times New Roman"/>
                <w:sz w:val="18"/>
                <w:szCs w:val="18"/>
              </w:rPr>
              <w:t xml:space="preserve"> </w:t>
            </w:r>
          </w:p>
          <w:p w14:paraId="43DB7D70" w14:textId="7D5C6D18"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єj = coeficientul factorului </w:t>
            </w:r>
            <w:r w:rsidR="003A16A0" w:rsidRPr="008070DB">
              <w:rPr>
                <w:rFonts w:ascii="Times New Roman" w:hAnsi="Times New Roman" w:cs="Times New Roman"/>
                <w:sz w:val="18"/>
                <w:szCs w:val="18"/>
              </w:rPr>
              <w:t>stabilit</w:t>
            </w:r>
            <w:r w:rsidRPr="008070DB">
              <w:rPr>
                <w:rFonts w:ascii="Times New Roman" w:hAnsi="Times New Roman" w:cs="Times New Roman"/>
                <w:sz w:val="18"/>
                <w:szCs w:val="18"/>
              </w:rPr>
              <w:t xml:space="preserve"> de Banca Națională a Moldovei aferent setului de acoperire a riscului pentru setul de acoperire a riscului j determinat în conformitate cu punctul </w:t>
            </w:r>
            <w:r w:rsidR="00A67224" w:rsidRPr="008070DB">
              <w:rPr>
                <w:rFonts w:ascii="Times New Roman" w:hAnsi="Times New Roman" w:cs="Times New Roman"/>
                <w:sz w:val="18"/>
                <w:szCs w:val="18"/>
              </w:rPr>
              <w:t>7</w:t>
            </w:r>
            <w:r w:rsidR="00930407" w:rsidRPr="008070DB">
              <w:rPr>
                <w:rFonts w:ascii="Times New Roman" w:hAnsi="Times New Roman" w:cs="Times New Roman"/>
                <w:sz w:val="18"/>
                <w:szCs w:val="18"/>
              </w:rPr>
              <w:t>7</w:t>
            </w:r>
            <w:r w:rsidRPr="008070DB">
              <w:rPr>
                <w:rFonts w:ascii="Times New Roman" w:hAnsi="Times New Roman" w:cs="Times New Roman"/>
                <w:sz w:val="18"/>
                <w:szCs w:val="18"/>
              </w:rPr>
              <w:t xml:space="preserve">; și </w:t>
            </w:r>
          </w:p>
          <w:p w14:paraId="5667FAAB" w14:textId="10838B50"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SF</w:t>
            </w:r>
            <w:r w:rsidRPr="008070DB">
              <w:rPr>
                <w:rFonts w:ascii="Times New Roman" w:hAnsi="Times New Roman" w:cs="Times New Roman"/>
                <w:sz w:val="18"/>
                <w:szCs w:val="18"/>
                <w:vertAlign w:val="superscript"/>
              </w:rPr>
              <w:t>Altele</w:t>
            </w:r>
            <w:r w:rsidRPr="008070DB">
              <w:rPr>
                <w:rFonts w:ascii="Times New Roman" w:hAnsi="Times New Roman" w:cs="Times New Roman"/>
                <w:sz w:val="18"/>
                <w:szCs w:val="18"/>
              </w:rPr>
              <w:t xml:space="preserve"> = factorul </w:t>
            </w:r>
            <w:r w:rsidR="003A16A0" w:rsidRPr="008070DB">
              <w:rPr>
                <w:rFonts w:ascii="Times New Roman" w:hAnsi="Times New Roman" w:cs="Times New Roman"/>
                <w:sz w:val="18"/>
                <w:szCs w:val="18"/>
              </w:rPr>
              <w:t>stabilit</w:t>
            </w:r>
            <w:r w:rsidRPr="008070DB">
              <w:rPr>
                <w:rFonts w:ascii="Times New Roman" w:hAnsi="Times New Roman" w:cs="Times New Roman"/>
                <w:sz w:val="18"/>
                <w:szCs w:val="18"/>
              </w:rPr>
              <w:t xml:space="preserve"> de Banca Națională a Moldovei pentru categoria alte riscuri cu o valoare egală cu </w:t>
            </w:r>
            <w:proofErr w:type="gramStart"/>
            <w:r w:rsidRPr="008070DB">
              <w:rPr>
                <w:rFonts w:ascii="Times New Roman" w:hAnsi="Times New Roman" w:cs="Times New Roman"/>
                <w:sz w:val="18"/>
                <w:szCs w:val="18"/>
              </w:rPr>
              <w:t>8 %;</w:t>
            </w:r>
            <w:proofErr w:type="gramEnd"/>
            <w:r w:rsidRPr="008070DB">
              <w:rPr>
                <w:rFonts w:ascii="Times New Roman" w:hAnsi="Times New Roman" w:cs="Times New Roman"/>
                <w:sz w:val="18"/>
                <w:szCs w:val="18"/>
              </w:rPr>
              <w:t xml:space="preserve"> </w:t>
            </w:r>
          </w:p>
          <w:p w14:paraId="6E0848D0" w14:textId="77777777" w:rsidR="001A4DE8"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noProof/>
                <w:sz w:val="18"/>
                <w:szCs w:val="18"/>
              </w:rPr>
              <w:drawing>
                <wp:inline distT="0" distB="0" distL="0" distR="0" wp14:anchorId="73354AAF" wp14:editId="5E7F163B">
                  <wp:extent cx="836762" cy="278775"/>
                  <wp:effectExtent l="0" t="0" r="1905" b="6985"/>
                  <wp:docPr id="745927406" name="Picture 74592740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843709" cy="281089"/>
                          </a:xfrm>
                          <a:prstGeom prst="rect">
                            <a:avLst/>
                          </a:prstGeom>
                          <a:noFill/>
                          <a:ln>
                            <a:noFill/>
                          </a:ln>
                        </pic:spPr>
                      </pic:pic>
                    </a:graphicData>
                  </a:graphic>
                </wp:inline>
              </w:drawing>
            </w:r>
            <w:r w:rsidRPr="008070DB">
              <w:rPr>
                <w:rFonts w:ascii="Times New Roman" w:hAnsi="Times New Roman" w:cs="Times New Roman"/>
                <w:sz w:val="18"/>
                <w:szCs w:val="18"/>
              </w:rPr>
              <w:t xml:space="preserve">= valoarea noţională efectivă a setului de acoperire a riscului j, calculată după cum urmează: </w:t>
            </w:r>
          </w:p>
          <w:p w14:paraId="5C731DE8" w14:textId="77777777" w:rsidR="00FD5D2D" w:rsidRPr="008070DB" w:rsidRDefault="00FD5D2D" w:rsidP="003456B0">
            <w:pPr>
              <w:pStyle w:val="Default"/>
              <w:jc w:val="both"/>
              <w:rPr>
                <w:rFonts w:ascii="Times New Roman" w:hAnsi="Times New Roman" w:cs="Times New Roman"/>
                <w:sz w:val="18"/>
                <w:szCs w:val="18"/>
              </w:rPr>
            </w:pPr>
          </w:p>
          <w:p w14:paraId="6AD156D6" w14:textId="77777777" w:rsidR="00232A60" w:rsidRPr="00FD5D2D" w:rsidRDefault="00232A60" w:rsidP="00232A60">
            <w:pPr>
              <w:ind w:firstLine="567"/>
              <w:jc w:val="center"/>
              <w:rPr>
                <w:b/>
                <w:bCs/>
                <w:sz w:val="16"/>
                <w:szCs w:val="16"/>
                <w:lang w:val="en-US" w:eastAsia="ro-MD"/>
              </w:rPr>
            </w:pPr>
            <w:r w:rsidRPr="00FD5D2D">
              <w:rPr>
                <w:b/>
                <w:bCs/>
                <w:sz w:val="16"/>
                <w:szCs w:val="16"/>
                <w:lang w:val="en-US" w:eastAsia="ro-MD"/>
              </w:rPr>
              <w:t>EffNot</w:t>
            </w:r>
            <w:r w:rsidRPr="00FD5D2D">
              <w:rPr>
                <w:b/>
                <w:bCs/>
                <w:sz w:val="16"/>
                <w:szCs w:val="16"/>
                <w:vertAlign w:val="subscript"/>
                <w:lang w:val="en-US" w:eastAsia="ro-MD"/>
              </w:rPr>
              <w:t>j</w:t>
            </w:r>
            <w:r w:rsidRPr="00FD5D2D">
              <w:rPr>
                <w:b/>
                <w:bCs/>
                <w:sz w:val="16"/>
                <w:szCs w:val="16"/>
                <w:vertAlign w:val="superscript"/>
                <w:lang w:val="en-US" w:eastAsia="ro-MD"/>
              </w:rPr>
              <w:t>Altele</w:t>
            </w:r>
            <w:r w:rsidRPr="00FD5D2D">
              <w:rPr>
                <w:b/>
                <w:bCs/>
                <w:sz w:val="16"/>
                <w:szCs w:val="16"/>
                <w:lang w:val="en-US" w:eastAsia="ro-MD"/>
              </w:rPr>
              <w:t xml:space="preserve"> =               </w:t>
            </w:r>
            <w:r w:rsidRPr="00FD5D2D">
              <w:rPr>
                <w:b/>
                <w:bCs/>
                <w:sz w:val="16"/>
                <w:szCs w:val="16"/>
                <w:lang w:eastAsia="ro-MD"/>
              </w:rPr>
              <w:t>Σ</w:t>
            </w:r>
            <w:r w:rsidRPr="00FD5D2D">
              <w:rPr>
                <w:b/>
                <w:bCs/>
                <w:sz w:val="16"/>
                <w:szCs w:val="16"/>
                <w:lang w:val="en-US" w:eastAsia="ro-MD"/>
              </w:rPr>
              <w:t xml:space="preserve">                      Poziția de risc</w:t>
            </w:r>
            <w:r w:rsidRPr="00FD5D2D">
              <w:rPr>
                <w:b/>
                <w:bCs/>
                <w:sz w:val="16"/>
                <w:szCs w:val="16"/>
                <w:vertAlign w:val="subscript"/>
                <w:lang w:val="en-US" w:eastAsia="ro-MD"/>
              </w:rPr>
              <w:t>1</w:t>
            </w:r>
          </w:p>
          <w:p w14:paraId="7BFD5184" w14:textId="77777777" w:rsidR="00232A60" w:rsidRPr="00FD5D2D" w:rsidRDefault="00232A60" w:rsidP="00232A60">
            <w:pPr>
              <w:ind w:firstLine="567"/>
              <w:jc w:val="center"/>
              <w:rPr>
                <w:b/>
                <w:bCs/>
                <w:sz w:val="16"/>
                <w:szCs w:val="16"/>
                <w:lang w:val="en-US" w:eastAsia="ro-MD"/>
              </w:rPr>
            </w:pPr>
            <w:r w:rsidRPr="00FD5D2D">
              <w:rPr>
                <w:b/>
                <w:bCs/>
                <w:sz w:val="16"/>
                <w:szCs w:val="16"/>
                <w:lang w:val="en-US" w:eastAsia="ro-MD"/>
              </w:rPr>
              <w:t xml:space="preserve">1 </w:t>
            </w:r>
            <w:r w:rsidRPr="00FD5D2D">
              <w:rPr>
                <w:b/>
                <w:bCs/>
                <w:sz w:val="16"/>
                <w:szCs w:val="16"/>
                <w:lang w:eastAsia="ro-MD"/>
              </w:rPr>
              <w:t>є</w:t>
            </w:r>
            <w:r w:rsidRPr="00FD5D2D">
              <w:rPr>
                <w:b/>
                <w:bCs/>
                <w:sz w:val="16"/>
                <w:szCs w:val="16"/>
                <w:lang w:val="en-US" w:eastAsia="ro-MD"/>
              </w:rPr>
              <w:t xml:space="preserve"> Setul de acoperire a riscului j</w:t>
            </w:r>
          </w:p>
          <w:p w14:paraId="4EDE3378" w14:textId="2F40FA5C" w:rsidR="001A4DE8" w:rsidRPr="008070DB" w:rsidRDefault="001A4DE8" w:rsidP="003456B0">
            <w:pPr>
              <w:pStyle w:val="Default"/>
              <w:jc w:val="both"/>
              <w:rPr>
                <w:rFonts w:ascii="Times New Roman" w:hAnsi="Times New Roman" w:cs="Times New Roman"/>
                <w:sz w:val="18"/>
                <w:szCs w:val="18"/>
              </w:rPr>
            </w:pPr>
          </w:p>
          <w:p w14:paraId="3D696F9D"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unde: </w:t>
            </w:r>
          </w:p>
          <w:p w14:paraId="10EBBEE4" w14:textId="77777777" w:rsidR="001A4DE8" w:rsidRPr="008070DB" w:rsidRDefault="001A4DE8" w:rsidP="003456B0">
            <w:pPr>
              <w:pStyle w:val="Default"/>
              <w:jc w:val="both"/>
              <w:rPr>
                <w:rFonts w:ascii="Times New Roman" w:hAnsi="Times New Roman" w:cs="Times New Roman"/>
                <w:sz w:val="18"/>
                <w:szCs w:val="18"/>
              </w:rPr>
            </w:pPr>
            <w:r w:rsidRPr="008070DB">
              <w:rPr>
                <w:rFonts w:ascii="Times New Roman" w:hAnsi="Times New Roman" w:cs="Times New Roman"/>
                <w:sz w:val="18"/>
                <w:szCs w:val="18"/>
              </w:rPr>
              <w:t xml:space="preserve">l = indicele care desemnează poziţia de risc (RiskPosition). </w:t>
            </w:r>
          </w:p>
          <w:p w14:paraId="3DD0E3B6"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7AAECB4"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3167AC6"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1E4CB53"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47D9331" w14:textId="77777777"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BB1018D" w14:textId="3D53C80E"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30955ECE" w14:textId="2F987960" w:rsidR="001A4DE8" w:rsidRPr="00A96E09" w:rsidRDefault="001A4DE8"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05CBBB9A" w14:textId="77777777" w:rsidR="001A4DE8" w:rsidRPr="00A96E09" w:rsidRDefault="001A4DE8" w:rsidP="00C14AF6">
            <w:pPr>
              <w:jc w:val="both"/>
              <w:rPr>
                <w:sz w:val="18"/>
                <w:szCs w:val="18"/>
                <w:lang w:val="ro-MD"/>
              </w:rPr>
            </w:pPr>
          </w:p>
        </w:tc>
      </w:tr>
      <w:tr w:rsidR="001A4DE8" w:rsidRPr="00A96E09" w14:paraId="5F058A1C" w14:textId="77777777" w:rsidTr="00C14AF6">
        <w:trPr>
          <w:trHeight w:val="918"/>
        </w:trPr>
        <w:tc>
          <w:tcPr>
            <w:tcW w:w="3866" w:type="dxa"/>
          </w:tcPr>
          <w:p w14:paraId="0F94B5A3" w14:textId="08EE84A0"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Secţiunea 4</w:t>
            </w:r>
          </w:p>
          <w:p w14:paraId="0C5146D1" w14:textId="77777777" w:rsidR="001A4DE8" w:rsidRPr="00A96E09" w:rsidRDefault="001A4DE8" w:rsidP="003456B0">
            <w:pPr>
              <w:pStyle w:val="CM4"/>
              <w:spacing w:before="60" w:after="60"/>
              <w:ind w:firstLine="567"/>
              <w:jc w:val="both"/>
              <w:rPr>
                <w:rFonts w:ascii="Times New Roman" w:hAnsi="Times New Roman"/>
                <w:color w:val="000000"/>
                <w:sz w:val="18"/>
                <w:szCs w:val="18"/>
              </w:rPr>
            </w:pPr>
            <w:r w:rsidRPr="00A96E09">
              <w:rPr>
                <w:rFonts w:ascii="Times New Roman" w:hAnsi="Times New Roman"/>
                <w:b/>
                <w:bCs/>
                <w:color w:val="000000"/>
                <w:sz w:val="18"/>
                <w:szCs w:val="18"/>
              </w:rPr>
              <w:t>Abordarea standardizată simplificată pentru riscul de credit al contrapărţii</w:t>
            </w:r>
          </w:p>
          <w:p w14:paraId="5CD33717" w14:textId="742C1AAF"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t xml:space="preserve">Articolul 281 </w:t>
            </w:r>
            <w:r w:rsidRPr="00A96E09">
              <w:rPr>
                <w:rFonts w:ascii="Times New Roman" w:hAnsi="Times New Roman"/>
                <w:b/>
                <w:bCs/>
                <w:color w:val="000000"/>
                <w:sz w:val="18"/>
                <w:szCs w:val="18"/>
              </w:rPr>
              <w:t>Calculul valorii expunerii</w:t>
            </w:r>
          </w:p>
          <w:p w14:paraId="2DF5516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Instituţiile calculează o singură valoare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expunerii la nivelul unui set de compensare în conformitate cu secţiunea 3, sub rezerva alineatului (2) din prezentul articol. </w:t>
            </w:r>
          </w:p>
          <w:p w14:paraId="3740094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Valoarea expunerii unui set de compensare se calculează în conformitate cu următoarele cerinţe: </w:t>
            </w:r>
          </w:p>
          <w:p w14:paraId="2EAF9E4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 instituţiile nu aplică tratamentul menţionat la articolul 274 alineatul (6</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22574B2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prin derogare de la articolul 275 alineatul (1), în cazul seturilor de compensare care nu sunt menţionate la articolul 275 alineatul (2), instituţiile calculează costul de înlocuire în conformitate cu următoarea formulă: </w:t>
            </w:r>
          </w:p>
          <w:p w14:paraId="09EAF6B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w:t>
            </w:r>
            <w:proofErr w:type="gramStart"/>
            <w:r w:rsidRPr="00A96E09">
              <w:rPr>
                <w:rFonts w:ascii="Times New Roman" w:hAnsi="Times New Roman"/>
                <w:color w:val="000000"/>
                <w:sz w:val="18"/>
                <w:szCs w:val="18"/>
              </w:rPr>
              <w:t>max{</w:t>
            </w:r>
            <w:proofErr w:type="gramEnd"/>
            <w:r w:rsidRPr="00A96E09">
              <w:rPr>
                <w:rFonts w:ascii="Times New Roman" w:hAnsi="Times New Roman"/>
                <w:color w:val="000000"/>
                <w:sz w:val="18"/>
                <w:szCs w:val="18"/>
              </w:rPr>
              <w:t xml:space="preserve">CMV, 0} </w:t>
            </w:r>
          </w:p>
          <w:p w14:paraId="1607219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2A9FB12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costul de înlocuire; și </w:t>
            </w:r>
          </w:p>
          <w:p w14:paraId="4B5B500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CMV = valoarea de piaţă curentă. </w:t>
            </w:r>
          </w:p>
          <w:p w14:paraId="091ACF6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(c) prin derogare de la articolul 275 alineatul (2) din prezentul regulament, în cazul seturilor de compensare formate din tranzacţii care sunt tranzacţionate pe o bursă recunoscută sau care sunt compensate la nivel central de către o contraparte centrală autorizată în conformitate cu articolul 14 din Regulamentul (UE) nr. 648/2012 ori recunoscută în conformitate cu articolul 25 din regulamentul respectiv sau pentru care au loc schimburi bilaterale de garanţii reale cu contrapartea în conformitate cu articolul 11 din Regulamentul (UE) nr. 648/2012, instituţiile calculează costul de înlocuire în conformitate cu următoarea formulă: </w:t>
            </w:r>
          </w:p>
          <w:p w14:paraId="649268B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RC = TH + MTA</w:t>
            </w:r>
          </w:p>
          <w:p w14:paraId="5FC93D2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463CE6B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costul de </w:t>
            </w:r>
            <w:proofErr w:type="gramStart"/>
            <w:r w:rsidRPr="00A96E09">
              <w:rPr>
                <w:rFonts w:ascii="Times New Roman" w:hAnsi="Times New Roman"/>
                <w:color w:val="000000"/>
                <w:sz w:val="18"/>
                <w:szCs w:val="18"/>
              </w:rPr>
              <w:t>înlocuire;</w:t>
            </w:r>
            <w:proofErr w:type="gramEnd"/>
            <w:r w:rsidRPr="00A96E09">
              <w:rPr>
                <w:rFonts w:ascii="Times New Roman" w:hAnsi="Times New Roman"/>
                <w:color w:val="000000"/>
                <w:sz w:val="18"/>
                <w:szCs w:val="18"/>
              </w:rPr>
              <w:t xml:space="preserve"> </w:t>
            </w:r>
          </w:p>
          <w:p w14:paraId="296C3F5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TH = pragul de marjă aplicabil setului de compensare conform contractului în marjă sub care instituţia nu poate solicita garanţii reale; și </w:t>
            </w:r>
          </w:p>
          <w:p w14:paraId="38C5E6C9" w14:textId="7179E70F"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MTA = suma minimă de transfer aplicabilă setului de compensare conform contractului în </w:t>
            </w:r>
            <w:proofErr w:type="gramStart"/>
            <w:r w:rsidRPr="00A96E09">
              <w:rPr>
                <w:rFonts w:ascii="Times New Roman" w:hAnsi="Times New Roman"/>
                <w:color w:val="000000"/>
                <w:sz w:val="18"/>
                <w:szCs w:val="18"/>
              </w:rPr>
              <w:t>marjă;</w:t>
            </w:r>
            <w:proofErr w:type="gramEnd"/>
            <w:r w:rsidRPr="00A96E09">
              <w:rPr>
                <w:rFonts w:ascii="Times New Roman" w:hAnsi="Times New Roman"/>
                <w:color w:val="000000"/>
                <w:sz w:val="18"/>
                <w:szCs w:val="18"/>
              </w:rPr>
              <w:t xml:space="preserve"> </w:t>
            </w:r>
          </w:p>
          <w:p w14:paraId="1B33772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(d) prin derogare de la articolul 275 alineatul (3), în cazul seturilor de compensare multiple care fac obiectul unui contract în marjă, instituţiile calculează costul de înlocuire ca fiind suma costurilor de înlocuire ale fiecărui set de compensare individual, calculate în conformitate cu alineatul (1) ca și cum acestea nu ar face obiectul cerinţelor de </w:t>
            </w:r>
            <w:proofErr w:type="gramStart"/>
            <w:r w:rsidRPr="00A96E09">
              <w:rPr>
                <w:rFonts w:ascii="Times New Roman" w:hAnsi="Times New Roman"/>
                <w:color w:val="000000"/>
                <w:sz w:val="18"/>
                <w:szCs w:val="18"/>
              </w:rPr>
              <w:t>marjă;</w:t>
            </w:r>
            <w:proofErr w:type="gramEnd"/>
            <w:r w:rsidRPr="00A96E09">
              <w:rPr>
                <w:rFonts w:ascii="Times New Roman" w:hAnsi="Times New Roman"/>
                <w:color w:val="000000"/>
                <w:sz w:val="18"/>
                <w:szCs w:val="18"/>
              </w:rPr>
              <w:t xml:space="preserve"> </w:t>
            </w:r>
          </w:p>
          <w:p w14:paraId="206DD2C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(e) toate seturile de acoperire a riscului se stabilesc în conformitate cu articolul 277a alineatul (1</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303AFE9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(f) instituţiile stabilesc ca multiplicatorul din formula care este folosită pentru a calcula expunerea viitoare potenţială de la articolul 278 alineatul (1) să fie egal cu 1, după cum urmează: </w:t>
            </w:r>
          </w:p>
          <w:p w14:paraId="6244F35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2A4098E" wp14:editId="5A0F4980">
                  <wp:extent cx="1138687" cy="311479"/>
                  <wp:effectExtent l="0" t="0" r="4445" b="0"/>
                  <wp:docPr id="166903012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82449" cy="323450"/>
                          </a:xfrm>
                          <a:prstGeom prst="rect">
                            <a:avLst/>
                          </a:prstGeom>
                          <a:noFill/>
                        </pic:spPr>
                      </pic:pic>
                    </a:graphicData>
                  </a:graphic>
                </wp:inline>
              </w:drawing>
            </w:r>
          </w:p>
          <w:p w14:paraId="0A3740D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unde: </w:t>
            </w:r>
          </w:p>
          <w:p w14:paraId="04BE7C5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PFE = expunere viitoare potenţială; și </w:t>
            </w:r>
          </w:p>
          <w:p w14:paraId="1AB4534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AddOn</w:t>
            </w:r>
            <w:r w:rsidRPr="00A96E09">
              <w:rPr>
                <w:rFonts w:ascii="Times New Roman" w:hAnsi="Times New Roman"/>
                <w:color w:val="000000"/>
                <w:sz w:val="18"/>
                <w:szCs w:val="18"/>
                <w:vertAlign w:val="superscript"/>
              </w:rPr>
              <w:t>(a)</w:t>
            </w:r>
            <w:r w:rsidRPr="00A96E09">
              <w:rPr>
                <w:rFonts w:ascii="Times New Roman" w:hAnsi="Times New Roman"/>
                <w:color w:val="000000"/>
                <w:sz w:val="18"/>
                <w:szCs w:val="18"/>
              </w:rPr>
              <w:t xml:space="preserve"> = majorarea pentru categoria de risc „a</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12EC479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(g) prin derogare de la articolul 279a alineatul (1), în cazul tuturor tranzacţiilor instituţiile calculează delta reglementată după cum urmează: </w:t>
            </w:r>
          </w:p>
          <w:p w14:paraId="0D83B33E" w14:textId="77777777" w:rsidR="001A4DE8" w:rsidRPr="00A96E09" w:rsidRDefault="001A4DE8" w:rsidP="003456B0">
            <w:pPr>
              <w:pStyle w:val="CM4"/>
              <w:tabs>
                <w:tab w:val="left" w:pos="3125"/>
              </w:tabs>
              <w:spacing w:before="60" w:after="60"/>
              <w:jc w:val="both"/>
              <w:rPr>
                <w:rFonts w:ascii="Times New Roman" w:hAnsi="Times New Roman"/>
                <w:color w:val="000000"/>
                <w:sz w:val="18"/>
                <w:szCs w:val="18"/>
              </w:rPr>
            </w:pPr>
            <w:r w:rsidRPr="00A96E09">
              <w:rPr>
                <w:rFonts w:ascii="Times New Roman" w:hAnsi="Times New Roman"/>
                <w:color w:val="000000"/>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
              <w:gridCol w:w="325"/>
              <w:gridCol w:w="3525"/>
            </w:tblGrid>
            <w:tr w:rsidR="001A4DE8" w:rsidRPr="00EB7E01" w14:paraId="50104C02" w14:textId="77777777" w:rsidTr="00B11411">
              <w:trPr>
                <w:trHeight w:val="443"/>
              </w:trPr>
              <w:tc>
                <w:tcPr>
                  <w:tcW w:w="258" w:type="dxa"/>
                  <w:vMerge w:val="restart"/>
                </w:tcPr>
                <w:p w14:paraId="10801244" w14:textId="77777777" w:rsidR="001A4DE8" w:rsidRPr="00A96E09" w:rsidRDefault="001A4DE8" w:rsidP="00EB7E01">
                  <w:pPr>
                    <w:pStyle w:val="CM4"/>
                    <w:framePr w:hSpace="180" w:wrap="around" w:vAnchor="text" w:hAnchor="text" w:y="1"/>
                    <w:tabs>
                      <w:tab w:val="left" w:pos="3125"/>
                    </w:tabs>
                    <w:spacing w:before="60" w:after="60"/>
                    <w:suppressOverlap/>
                    <w:jc w:val="both"/>
                    <w:rPr>
                      <w:rFonts w:ascii="Times New Roman" w:hAnsi="Times New Roman"/>
                      <w:color w:val="000000"/>
                      <w:sz w:val="18"/>
                      <w:szCs w:val="18"/>
                    </w:rPr>
                  </w:pPr>
                </w:p>
                <w:p w14:paraId="1C496BC9" w14:textId="77777777" w:rsidR="001A4DE8" w:rsidRPr="00A96E09" w:rsidRDefault="001A4DE8" w:rsidP="00EB7E01">
                  <w:pPr>
                    <w:pStyle w:val="CM4"/>
                    <w:framePr w:hSpace="180" w:wrap="around" w:vAnchor="text" w:hAnchor="text" w:y="1"/>
                    <w:tabs>
                      <w:tab w:val="left" w:pos="3125"/>
                    </w:tabs>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δ =</w:t>
                  </w:r>
                </w:p>
              </w:tc>
              <w:tc>
                <w:tcPr>
                  <w:tcW w:w="325" w:type="dxa"/>
                  <w:vMerge w:val="restart"/>
                </w:tcPr>
                <w:p w14:paraId="47B8B085" w14:textId="77777777" w:rsidR="001A4DE8" w:rsidRPr="00A96E09" w:rsidRDefault="001A4DE8" w:rsidP="00EB7E01">
                  <w:pPr>
                    <w:pStyle w:val="CM4"/>
                    <w:framePr w:hSpace="180" w:wrap="around" w:vAnchor="text" w:hAnchor="text" w:y="1"/>
                    <w:tabs>
                      <w:tab w:val="left" w:pos="3125"/>
                    </w:tabs>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w:t>
                  </w:r>
                </w:p>
              </w:tc>
              <w:tc>
                <w:tcPr>
                  <w:tcW w:w="3525" w:type="dxa"/>
                </w:tcPr>
                <w:p w14:paraId="1358C87E"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 xml:space="preserve">+ 1 dacă tranzacţia este o poziţie lungă pe determinantul de risc principal </w:t>
                  </w:r>
                </w:p>
              </w:tc>
            </w:tr>
            <w:tr w:rsidR="001A4DE8" w:rsidRPr="00EB7E01" w14:paraId="6800CBB6" w14:textId="77777777" w:rsidTr="00B11411">
              <w:trPr>
                <w:trHeight w:val="196"/>
              </w:trPr>
              <w:tc>
                <w:tcPr>
                  <w:tcW w:w="258" w:type="dxa"/>
                  <w:vMerge/>
                </w:tcPr>
                <w:p w14:paraId="1C40D872" w14:textId="77777777" w:rsidR="001A4DE8" w:rsidRPr="00A96E09" w:rsidRDefault="001A4DE8" w:rsidP="00EB7E01">
                  <w:pPr>
                    <w:pStyle w:val="CM4"/>
                    <w:framePr w:hSpace="180" w:wrap="around" w:vAnchor="text" w:hAnchor="text" w:y="1"/>
                    <w:tabs>
                      <w:tab w:val="left" w:pos="3125"/>
                    </w:tabs>
                    <w:spacing w:before="60" w:after="60"/>
                    <w:suppressOverlap/>
                    <w:jc w:val="both"/>
                    <w:rPr>
                      <w:rFonts w:ascii="Times New Roman" w:hAnsi="Times New Roman"/>
                      <w:color w:val="000000"/>
                      <w:sz w:val="18"/>
                      <w:szCs w:val="18"/>
                    </w:rPr>
                  </w:pPr>
                </w:p>
              </w:tc>
              <w:tc>
                <w:tcPr>
                  <w:tcW w:w="325" w:type="dxa"/>
                  <w:vMerge/>
                </w:tcPr>
                <w:p w14:paraId="7EBC6095" w14:textId="77777777" w:rsidR="001A4DE8" w:rsidRPr="00A96E09" w:rsidRDefault="001A4DE8" w:rsidP="00EB7E01">
                  <w:pPr>
                    <w:pStyle w:val="CM4"/>
                    <w:framePr w:hSpace="180" w:wrap="around" w:vAnchor="text" w:hAnchor="text" w:y="1"/>
                    <w:tabs>
                      <w:tab w:val="left" w:pos="3125"/>
                    </w:tabs>
                    <w:spacing w:before="60" w:after="60"/>
                    <w:suppressOverlap/>
                    <w:jc w:val="both"/>
                    <w:rPr>
                      <w:rFonts w:ascii="Times New Roman" w:hAnsi="Times New Roman"/>
                      <w:color w:val="000000"/>
                      <w:sz w:val="18"/>
                      <w:szCs w:val="18"/>
                    </w:rPr>
                  </w:pPr>
                </w:p>
              </w:tc>
              <w:tc>
                <w:tcPr>
                  <w:tcW w:w="3525" w:type="dxa"/>
                </w:tcPr>
                <w:p w14:paraId="1BD225CC" w14:textId="77777777" w:rsidR="001A4DE8" w:rsidRPr="00A96E09" w:rsidRDefault="001A4DE8" w:rsidP="00EB7E01">
                  <w:pPr>
                    <w:pStyle w:val="CM4"/>
                    <w:framePr w:hSpace="180" w:wrap="around" w:vAnchor="text" w:hAnchor="text" w:y="1"/>
                    <w:spacing w:before="60" w:after="60"/>
                    <w:suppressOverlap/>
                    <w:jc w:val="both"/>
                    <w:rPr>
                      <w:rFonts w:ascii="Times New Roman" w:hAnsi="Times New Roman"/>
                      <w:color w:val="000000"/>
                      <w:sz w:val="18"/>
                      <w:szCs w:val="18"/>
                    </w:rPr>
                  </w:pPr>
                  <w:r w:rsidRPr="00A96E09">
                    <w:rPr>
                      <w:rFonts w:ascii="Times New Roman" w:hAnsi="Times New Roman"/>
                      <w:color w:val="000000"/>
                      <w:sz w:val="18"/>
                      <w:szCs w:val="18"/>
                    </w:rPr>
                    <w:t xml:space="preserve">– 1 dacă tranzacţia este o poziţie scurtă pe determinantul de risc principal </w:t>
                  </w:r>
                </w:p>
              </w:tc>
            </w:tr>
          </w:tbl>
          <w:p w14:paraId="019405B3"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26AB4BD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δ = delta de </w:t>
            </w:r>
            <w:proofErr w:type="gramStart"/>
            <w:r w:rsidRPr="00A96E09">
              <w:rPr>
                <w:rFonts w:ascii="Times New Roman" w:hAnsi="Times New Roman"/>
                <w:color w:val="000000"/>
                <w:sz w:val="18"/>
                <w:szCs w:val="18"/>
              </w:rPr>
              <w:t>supraveghere;</w:t>
            </w:r>
            <w:proofErr w:type="gramEnd"/>
            <w:r w:rsidRPr="00A96E09">
              <w:rPr>
                <w:rFonts w:ascii="Times New Roman" w:hAnsi="Times New Roman"/>
                <w:color w:val="000000"/>
                <w:sz w:val="18"/>
                <w:szCs w:val="18"/>
              </w:rPr>
              <w:t xml:space="preserve"> </w:t>
            </w:r>
          </w:p>
          <w:p w14:paraId="148855B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(h) formula, menţionată la articolul 279b alineatul (1) litera (a), care este utilizată pentru a calcula factorul duratei reglementat este următoarea: </w:t>
            </w:r>
          </w:p>
          <w:p w14:paraId="4D4D02B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factorul duratei reglementat=E – S </w:t>
            </w:r>
          </w:p>
          <w:p w14:paraId="1E6E15A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0040E6A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E = perioada dintre data de încetare a unei tranzacţii și data raportării; și </w:t>
            </w:r>
          </w:p>
          <w:p w14:paraId="54DC953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S = perioada dintre data de începere a unei tranzacţii și data </w:t>
            </w:r>
            <w:proofErr w:type="gramStart"/>
            <w:r w:rsidRPr="00A96E09">
              <w:rPr>
                <w:rFonts w:ascii="Times New Roman" w:hAnsi="Times New Roman"/>
                <w:color w:val="000000"/>
                <w:sz w:val="18"/>
                <w:szCs w:val="18"/>
              </w:rPr>
              <w:t>raportării;</w:t>
            </w:r>
            <w:proofErr w:type="gramEnd"/>
            <w:r w:rsidRPr="00A96E09">
              <w:rPr>
                <w:rFonts w:ascii="Times New Roman" w:hAnsi="Times New Roman"/>
                <w:color w:val="000000"/>
                <w:sz w:val="18"/>
                <w:szCs w:val="18"/>
              </w:rPr>
              <w:t xml:space="preserve"> </w:t>
            </w:r>
          </w:p>
          <w:p w14:paraId="2D5539F2"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factorul de scadenţă prevăzut la articolul 279c alineatul (1) se calculează după cum urmează: </w:t>
            </w:r>
          </w:p>
          <w:p w14:paraId="399CCE6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în cazul tranzacţiilor incluse în seturile de compensare menţionate la articolul 275 alineatul (1), MF = </w:t>
            </w:r>
            <w:proofErr w:type="gramStart"/>
            <w:r w:rsidRPr="00A96E09">
              <w:rPr>
                <w:rFonts w:ascii="Times New Roman" w:hAnsi="Times New Roman"/>
                <w:color w:val="000000"/>
                <w:sz w:val="18"/>
                <w:szCs w:val="18"/>
              </w:rPr>
              <w:t>1;</w:t>
            </w:r>
            <w:proofErr w:type="gramEnd"/>
            <w:r w:rsidRPr="00A96E09">
              <w:rPr>
                <w:rFonts w:ascii="Times New Roman" w:hAnsi="Times New Roman"/>
                <w:color w:val="000000"/>
                <w:sz w:val="18"/>
                <w:szCs w:val="18"/>
              </w:rPr>
              <w:t xml:space="preserve"> </w:t>
            </w:r>
          </w:p>
          <w:p w14:paraId="4FA74F4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în cazul tranzacţiilor incluse în seturile de compensare menţionate la articolul 275 alineatele (2) și (3), MF = </w:t>
            </w:r>
            <w:proofErr w:type="gramStart"/>
            <w:r w:rsidRPr="00A96E09">
              <w:rPr>
                <w:rFonts w:ascii="Times New Roman" w:hAnsi="Times New Roman"/>
                <w:color w:val="000000"/>
                <w:sz w:val="18"/>
                <w:szCs w:val="18"/>
              </w:rPr>
              <w:t>0,42;</w:t>
            </w:r>
            <w:proofErr w:type="gramEnd"/>
            <w:r w:rsidRPr="00A96E09">
              <w:rPr>
                <w:rFonts w:ascii="Times New Roman" w:hAnsi="Times New Roman"/>
                <w:color w:val="000000"/>
                <w:sz w:val="18"/>
                <w:szCs w:val="18"/>
              </w:rPr>
              <w:t xml:space="preserve"> </w:t>
            </w:r>
          </w:p>
          <w:p w14:paraId="609985C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(j) formula, menţionată la articolul 280a alineatul (3), care este utilizată pentru a calcula valoarea noţională efectivă a setului de acoperire a riscului „j” este următoarea: </w:t>
            </w:r>
          </w:p>
          <w:p w14:paraId="7CACF59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lastRenderedPageBreak/>
              <w:drawing>
                <wp:inline distT="0" distB="0" distL="0" distR="0" wp14:anchorId="1783A731" wp14:editId="30B1C7A9">
                  <wp:extent cx="1907668" cy="232913"/>
                  <wp:effectExtent l="0" t="0" r="0" b="0"/>
                  <wp:docPr id="76902667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942577" cy="237175"/>
                          </a:xfrm>
                          <a:prstGeom prst="rect">
                            <a:avLst/>
                          </a:prstGeom>
                          <a:noFill/>
                        </pic:spPr>
                      </pic:pic>
                    </a:graphicData>
                  </a:graphic>
                </wp:inline>
              </w:drawing>
            </w:r>
          </w:p>
          <w:p w14:paraId="125739D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3753A52F" w14:textId="6CA20EA0"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2F457576" wp14:editId="16B80C42">
                  <wp:extent cx="616175" cy="258793"/>
                  <wp:effectExtent l="0" t="0" r="0" b="8255"/>
                  <wp:docPr id="14314123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8766" cy="264081"/>
                          </a:xfrm>
                          <a:prstGeom prst="rect">
                            <a:avLst/>
                          </a:prstGeom>
                          <a:noFill/>
                        </pic:spPr>
                      </pic:pic>
                    </a:graphicData>
                  </a:graphic>
                </wp:inline>
              </w:drawing>
            </w:r>
            <w:r w:rsidRPr="00A96E09">
              <w:rPr>
                <w:rFonts w:ascii="Times New Roman" w:hAnsi="Times New Roman"/>
                <w:color w:val="000000"/>
                <w:sz w:val="18"/>
                <w:szCs w:val="18"/>
              </w:rPr>
              <w:t xml:space="preserve">= valoarea noţională efectivă a setului de acoperire a riscului „j”; și </w:t>
            </w:r>
          </w:p>
          <w:p w14:paraId="1EF4C402"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t>D</w:t>
            </w:r>
            <w:r w:rsidRPr="00A96E09">
              <w:rPr>
                <w:rFonts w:ascii="Times New Roman" w:hAnsi="Times New Roman"/>
                <w:color w:val="000000"/>
                <w:sz w:val="18"/>
                <w:szCs w:val="18"/>
                <w:vertAlign w:val="subscript"/>
              </w:rPr>
              <w:t>j,k</w:t>
            </w:r>
            <w:proofErr w:type="gramEnd"/>
            <w:r w:rsidRPr="00A96E09">
              <w:rPr>
                <w:rFonts w:ascii="Times New Roman" w:hAnsi="Times New Roman"/>
                <w:color w:val="000000"/>
                <w:sz w:val="18"/>
                <w:szCs w:val="18"/>
              </w:rPr>
              <w:t xml:space="preserve"> = valoarea noţională efectivă a benzii „k” a setului de acoperire a riscului „j</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2F10429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(k) formula menţionată la articolul 280c alineatul (3) care este utilizată pentru a calcula majorarea aferentă categoriei de risc de credit pentru setul de acoperire a riscului „j” se citește după cum urmează: </w:t>
            </w:r>
          </w:p>
          <w:p w14:paraId="1DD767B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2DBAF208" wp14:editId="77E3DD44">
                  <wp:extent cx="2156604" cy="320860"/>
                  <wp:effectExtent l="0" t="0" r="0" b="3175"/>
                  <wp:docPr id="184608505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203842" cy="327888"/>
                          </a:xfrm>
                          <a:prstGeom prst="rect">
                            <a:avLst/>
                          </a:prstGeom>
                          <a:noFill/>
                        </pic:spPr>
                      </pic:pic>
                    </a:graphicData>
                  </a:graphic>
                </wp:inline>
              </w:drawing>
            </w:r>
          </w:p>
          <w:p w14:paraId="6BB358B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5A5F078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7BAC7B07" wp14:editId="22F8A92A">
                  <wp:extent cx="750498" cy="237290"/>
                  <wp:effectExtent l="0" t="0" r="0" b="0"/>
                  <wp:docPr id="142218470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79998" cy="246617"/>
                          </a:xfrm>
                          <a:prstGeom prst="rect">
                            <a:avLst/>
                          </a:prstGeom>
                          <a:noFill/>
                        </pic:spPr>
                      </pic:pic>
                    </a:graphicData>
                  </a:graphic>
                </wp:inline>
              </w:drawing>
            </w:r>
            <w:r w:rsidRPr="00A96E09">
              <w:rPr>
                <w:rFonts w:ascii="Times New Roman" w:hAnsi="Times New Roman"/>
                <w:color w:val="000000"/>
                <w:sz w:val="18"/>
                <w:szCs w:val="18"/>
              </w:rPr>
              <w:t xml:space="preserve"> = majorarea aferentă categoriei de risc de credit pentru setul de acoperire a riscului „j”; și </w:t>
            </w:r>
          </w:p>
          <w:p w14:paraId="0AB16000"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t>AddOn(</w:t>
            </w:r>
            <w:proofErr w:type="gramEnd"/>
            <w:r w:rsidRPr="00A96E09">
              <w:rPr>
                <w:rFonts w:ascii="Times New Roman" w:hAnsi="Times New Roman"/>
                <w:color w:val="000000"/>
                <w:sz w:val="18"/>
                <w:szCs w:val="18"/>
              </w:rPr>
              <w:t>Entitate</w:t>
            </w:r>
            <w:r w:rsidRPr="00A96E09">
              <w:rPr>
                <w:rFonts w:ascii="Times New Roman" w:hAnsi="Times New Roman"/>
                <w:color w:val="000000"/>
                <w:sz w:val="18"/>
                <w:szCs w:val="18"/>
                <w:vertAlign w:val="subscript"/>
              </w:rPr>
              <w:t>k</w:t>
            </w:r>
            <w:r w:rsidRPr="00A96E09">
              <w:rPr>
                <w:rFonts w:ascii="Times New Roman" w:hAnsi="Times New Roman"/>
                <w:color w:val="000000"/>
                <w:sz w:val="18"/>
                <w:szCs w:val="18"/>
              </w:rPr>
              <w:t>) = majorarea aferentă entităţii de referinţă privind creditul „k</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51BCA72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(l) formula menţionată la articolul 280d alineatul (3) care este utilizată pentru a calcula majorarea aferentă categoriei de risc privind titlurile de capital pentru setul de acoperire a riscului „j” se citește după cum urmează: </w:t>
            </w:r>
          </w:p>
          <w:p w14:paraId="4D667EF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87E8035" wp14:editId="680943D3">
                  <wp:extent cx="2820838" cy="354750"/>
                  <wp:effectExtent l="0" t="0" r="0" b="7620"/>
                  <wp:docPr id="1280151953"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850437" cy="358472"/>
                          </a:xfrm>
                          <a:prstGeom prst="rect">
                            <a:avLst/>
                          </a:prstGeom>
                          <a:noFill/>
                        </pic:spPr>
                      </pic:pic>
                    </a:graphicData>
                  </a:graphic>
                </wp:inline>
              </w:drawing>
            </w:r>
          </w:p>
          <w:p w14:paraId="702232E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6B07D24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467BD5EF" wp14:editId="17CB1B53">
                  <wp:extent cx="1130060" cy="226012"/>
                  <wp:effectExtent l="0" t="0" r="0" b="3175"/>
                  <wp:docPr id="145360919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Pr="00A96E09">
              <w:rPr>
                <w:rFonts w:ascii="Times New Roman" w:hAnsi="Times New Roman"/>
                <w:color w:val="000000"/>
                <w:sz w:val="18"/>
                <w:szCs w:val="18"/>
              </w:rPr>
              <w:t xml:space="preserve">= majorarea aferentă categoriei de risc privind titlurile de capital pentru setul de acoperire a riscului „j”; și </w:t>
            </w:r>
          </w:p>
          <w:p w14:paraId="261C0D6C" w14:textId="77777777" w:rsidR="001A4DE8" w:rsidRPr="00A96E09" w:rsidRDefault="001A4DE8" w:rsidP="003456B0">
            <w:pPr>
              <w:pStyle w:val="CM4"/>
              <w:spacing w:before="60" w:after="60"/>
              <w:jc w:val="both"/>
              <w:rPr>
                <w:rFonts w:ascii="Times New Roman" w:hAnsi="Times New Roman"/>
                <w:color w:val="000000"/>
                <w:sz w:val="18"/>
                <w:szCs w:val="18"/>
              </w:rPr>
            </w:pPr>
            <w:proofErr w:type="gramStart"/>
            <w:r w:rsidRPr="00A96E09">
              <w:rPr>
                <w:rFonts w:ascii="Times New Roman" w:hAnsi="Times New Roman"/>
                <w:color w:val="000000"/>
                <w:sz w:val="18"/>
                <w:szCs w:val="18"/>
              </w:rPr>
              <w:t>AddOn(</w:t>
            </w:r>
            <w:proofErr w:type="gramEnd"/>
            <w:r w:rsidRPr="00A96E09">
              <w:rPr>
                <w:rFonts w:ascii="Times New Roman" w:hAnsi="Times New Roman"/>
                <w:color w:val="000000"/>
                <w:sz w:val="18"/>
                <w:szCs w:val="18"/>
              </w:rPr>
              <w:t>Entitate</w:t>
            </w:r>
            <w:r w:rsidRPr="00A96E09">
              <w:rPr>
                <w:rFonts w:ascii="Times New Roman" w:hAnsi="Times New Roman"/>
                <w:color w:val="000000"/>
                <w:sz w:val="18"/>
                <w:szCs w:val="18"/>
                <w:vertAlign w:val="subscript"/>
              </w:rPr>
              <w:t>k</w:t>
            </w:r>
            <w:r w:rsidRPr="00A96E09">
              <w:rPr>
                <w:rFonts w:ascii="Times New Roman" w:hAnsi="Times New Roman"/>
                <w:color w:val="000000"/>
                <w:sz w:val="18"/>
                <w:szCs w:val="18"/>
              </w:rPr>
              <w:t>) = majorarea aferentă entităţii de referinţă privind creditul „k</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1D3BB14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(m) formula menţionată la articolul 280e alineatul (4) care este utilizată pentru a calcula majorarea aferentă categoriei de risc de marfă pentru setul de acoperire a riscului „j” se citește după cum urmează: </w:t>
            </w:r>
          </w:p>
          <w:p w14:paraId="160D418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65E40F66" wp14:editId="792FAA7F">
                  <wp:extent cx="2035834" cy="363149"/>
                  <wp:effectExtent l="0" t="0" r="2540" b="0"/>
                  <wp:docPr id="90083581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137574" cy="381297"/>
                          </a:xfrm>
                          <a:prstGeom prst="rect">
                            <a:avLst/>
                          </a:prstGeom>
                          <a:noFill/>
                        </pic:spPr>
                      </pic:pic>
                    </a:graphicData>
                  </a:graphic>
                </wp:inline>
              </w:drawing>
            </w:r>
          </w:p>
          <w:p w14:paraId="15984D4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0ED9B08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4ACC04D" wp14:editId="625A0EAE">
                  <wp:extent cx="759124" cy="243599"/>
                  <wp:effectExtent l="0" t="0" r="3175" b="4445"/>
                  <wp:docPr id="47867690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82812" cy="251200"/>
                          </a:xfrm>
                          <a:prstGeom prst="rect">
                            <a:avLst/>
                          </a:prstGeom>
                          <a:noFill/>
                        </pic:spPr>
                      </pic:pic>
                    </a:graphicData>
                  </a:graphic>
                </wp:inline>
              </w:drawing>
            </w:r>
            <w:r w:rsidRPr="00A96E09">
              <w:rPr>
                <w:rFonts w:ascii="Times New Roman" w:hAnsi="Times New Roman"/>
                <w:color w:val="000000"/>
                <w:sz w:val="18"/>
                <w:szCs w:val="18"/>
              </w:rPr>
              <w:t xml:space="preserve"> = majorarea aferentă categoriei de risc de marfă pentru setul de acoperire a riscului „j”; și </w:t>
            </w:r>
          </w:p>
          <w:p w14:paraId="5056F28E"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noProof/>
                <w:color w:val="000000"/>
                <w:sz w:val="18"/>
                <w:szCs w:val="18"/>
              </w:rPr>
              <w:drawing>
                <wp:inline distT="0" distB="0" distL="0" distR="0" wp14:anchorId="33F218B5" wp14:editId="69AA9604">
                  <wp:extent cx="776377" cy="257175"/>
                  <wp:effectExtent l="0" t="0" r="5080" b="0"/>
                  <wp:docPr id="1905813618"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84377" cy="259825"/>
                          </a:xfrm>
                          <a:prstGeom prst="rect">
                            <a:avLst/>
                          </a:prstGeom>
                          <a:noFill/>
                        </pic:spPr>
                      </pic:pic>
                    </a:graphicData>
                  </a:graphic>
                </wp:inline>
              </w:drawing>
            </w:r>
            <w:r w:rsidRPr="00A96E09">
              <w:rPr>
                <w:rFonts w:ascii="Times New Roman" w:hAnsi="Times New Roman"/>
                <w:color w:val="000000"/>
                <w:sz w:val="18"/>
                <w:szCs w:val="18"/>
              </w:rPr>
              <w:t xml:space="preserve">= majorarea aferentă tipului de marfă de referinţă „k”. </w:t>
            </w:r>
          </w:p>
          <w:p w14:paraId="55FE5DC5" w14:textId="77777777" w:rsidR="001A4DE8" w:rsidRPr="00A96E09" w:rsidRDefault="001A4DE8" w:rsidP="003456B0">
            <w:pPr>
              <w:jc w:val="both"/>
              <w:rPr>
                <w:sz w:val="18"/>
                <w:szCs w:val="18"/>
                <w:lang w:val="en-US" w:eastAsia="en-US"/>
              </w:rPr>
            </w:pPr>
          </w:p>
        </w:tc>
        <w:tc>
          <w:tcPr>
            <w:tcW w:w="4356" w:type="dxa"/>
          </w:tcPr>
          <w:p w14:paraId="504A157B" w14:textId="77777777" w:rsidR="001A4DE8" w:rsidRPr="008070DB" w:rsidRDefault="001A4DE8" w:rsidP="003456B0">
            <w:pPr>
              <w:pStyle w:val="ListParagraph"/>
              <w:tabs>
                <w:tab w:val="left" w:pos="470"/>
              </w:tabs>
              <w:ind w:left="44"/>
              <w:jc w:val="both"/>
              <w:rPr>
                <w:color w:val="000000"/>
                <w:sz w:val="18"/>
                <w:szCs w:val="18"/>
                <w:lang w:val="ro-MD"/>
              </w:rPr>
            </w:pPr>
          </w:p>
          <w:p w14:paraId="4526FD74" w14:textId="77777777" w:rsidR="001A4DE8" w:rsidRPr="008070DB" w:rsidRDefault="001A4DE8" w:rsidP="00FD5D2D">
            <w:pPr>
              <w:ind w:firstLine="567"/>
              <w:jc w:val="center"/>
              <w:rPr>
                <w:b/>
                <w:bCs/>
                <w:sz w:val="18"/>
                <w:szCs w:val="18"/>
                <w:lang w:val="ro-MD"/>
              </w:rPr>
            </w:pPr>
            <w:r w:rsidRPr="008070DB">
              <w:rPr>
                <w:b/>
                <w:bCs/>
                <w:sz w:val="18"/>
                <w:szCs w:val="18"/>
                <w:lang w:val="ro-MD"/>
              </w:rPr>
              <w:t>Capitolul IV</w:t>
            </w:r>
          </w:p>
          <w:p w14:paraId="03D628F4" w14:textId="77777777" w:rsidR="001A4DE8" w:rsidRPr="008070DB" w:rsidRDefault="001A4DE8" w:rsidP="00FD5D2D">
            <w:pPr>
              <w:pStyle w:val="CM4"/>
              <w:spacing w:before="60" w:after="60"/>
              <w:ind w:firstLine="567"/>
              <w:jc w:val="center"/>
              <w:rPr>
                <w:rFonts w:ascii="Times New Roman" w:hAnsi="Times New Roman"/>
                <w:color w:val="000000"/>
                <w:sz w:val="18"/>
                <w:szCs w:val="18"/>
              </w:rPr>
            </w:pPr>
            <w:r w:rsidRPr="008070DB">
              <w:rPr>
                <w:rFonts w:ascii="Times New Roman" w:hAnsi="Times New Roman"/>
                <w:b/>
                <w:bCs/>
                <w:color w:val="000000"/>
                <w:sz w:val="18"/>
                <w:szCs w:val="18"/>
              </w:rPr>
              <w:t>Abordarea standardizată simplificată pentru riscul de credit al contrapărţii</w:t>
            </w:r>
          </w:p>
          <w:p w14:paraId="06CA435E" w14:textId="7E39EEE0" w:rsidR="00EA7143" w:rsidRPr="008070DB" w:rsidRDefault="00A67224" w:rsidP="003456B0">
            <w:pPr>
              <w:pStyle w:val="Default"/>
              <w:tabs>
                <w:tab w:val="left" w:pos="414"/>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b/>
                <w:bCs/>
                <w:sz w:val="18"/>
                <w:szCs w:val="18"/>
                <w:lang w:val="ro-MD"/>
                <w14:ligatures w14:val="standardContextual"/>
              </w:rPr>
              <w:t>9</w:t>
            </w:r>
            <w:r w:rsidR="00EA7143" w:rsidRPr="008070DB">
              <w:rPr>
                <w:rFonts w:ascii="Times New Roman" w:eastAsiaTheme="minorHAnsi" w:hAnsi="Times New Roman" w:cs="Times New Roman"/>
                <w:b/>
                <w:bCs/>
                <w:sz w:val="18"/>
                <w:szCs w:val="18"/>
                <w:lang w:val="ro-MD"/>
                <w14:ligatures w14:val="standardContextual"/>
              </w:rPr>
              <w:t>9.</w:t>
            </w:r>
            <w:r w:rsidR="00EA7143" w:rsidRPr="008070DB">
              <w:rPr>
                <w:rFonts w:ascii="Times New Roman" w:eastAsiaTheme="minorHAnsi" w:hAnsi="Times New Roman" w:cs="Times New Roman"/>
                <w:sz w:val="18"/>
                <w:szCs w:val="18"/>
                <w:lang w:val="ro-MD"/>
                <w14:ligatures w14:val="standardContextual"/>
              </w:rPr>
              <w:tab/>
              <w:t>Băncile calculează o singură valoare a expunerii la nivelul unui set de compensare în conformitate cu capitolul III, sub rezerva punctului 1</w:t>
            </w:r>
            <w:r w:rsidRPr="008070DB">
              <w:rPr>
                <w:rFonts w:ascii="Times New Roman" w:eastAsiaTheme="minorHAnsi" w:hAnsi="Times New Roman" w:cs="Times New Roman"/>
                <w:sz w:val="18"/>
                <w:szCs w:val="18"/>
                <w:lang w:val="ro-MD"/>
                <w14:ligatures w14:val="standardContextual"/>
              </w:rPr>
              <w:t>0</w:t>
            </w:r>
            <w:r w:rsidR="00EA7143" w:rsidRPr="008070DB">
              <w:rPr>
                <w:rFonts w:ascii="Times New Roman" w:eastAsiaTheme="minorHAnsi" w:hAnsi="Times New Roman" w:cs="Times New Roman"/>
                <w:sz w:val="18"/>
                <w:szCs w:val="18"/>
                <w:lang w:val="ro-MD"/>
                <w14:ligatures w14:val="standardContextual"/>
              </w:rPr>
              <w:t xml:space="preserve">0. </w:t>
            </w:r>
          </w:p>
          <w:p w14:paraId="1887256C" w14:textId="56B16B57" w:rsidR="00EA7143" w:rsidRPr="008070DB" w:rsidRDefault="00EA7143" w:rsidP="003456B0">
            <w:pPr>
              <w:pStyle w:val="Default"/>
              <w:tabs>
                <w:tab w:val="left" w:pos="414"/>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b/>
                <w:bCs/>
                <w:sz w:val="18"/>
                <w:szCs w:val="18"/>
                <w:lang w:val="ro-MD"/>
                <w14:ligatures w14:val="standardContextual"/>
              </w:rPr>
              <w:t>1</w:t>
            </w:r>
            <w:r w:rsidR="00A67224" w:rsidRPr="008070DB">
              <w:rPr>
                <w:rFonts w:ascii="Times New Roman" w:eastAsiaTheme="minorHAnsi" w:hAnsi="Times New Roman" w:cs="Times New Roman"/>
                <w:b/>
                <w:bCs/>
                <w:sz w:val="18"/>
                <w:szCs w:val="18"/>
                <w:lang w:val="ro-MD"/>
                <w14:ligatures w14:val="standardContextual"/>
              </w:rPr>
              <w:t>0</w:t>
            </w:r>
            <w:r w:rsidRPr="008070DB">
              <w:rPr>
                <w:rFonts w:ascii="Times New Roman" w:eastAsiaTheme="minorHAnsi" w:hAnsi="Times New Roman" w:cs="Times New Roman"/>
                <w:b/>
                <w:bCs/>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ab/>
              <w:t xml:space="preserve">Valoarea expunerii unui set de compensare se calculează în conformitate cu următoarele cerinţe: </w:t>
            </w:r>
          </w:p>
          <w:p w14:paraId="13B36386" w14:textId="68CC0E49" w:rsidR="00EA7143" w:rsidRPr="008070DB" w:rsidRDefault="00EA7143" w:rsidP="003456B0">
            <w:pPr>
              <w:pStyle w:val="Default"/>
              <w:tabs>
                <w:tab w:val="left" w:pos="414"/>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0.1.</w:t>
            </w:r>
            <w:r w:rsidRPr="008070DB">
              <w:rPr>
                <w:rFonts w:ascii="Times New Roman" w:eastAsiaTheme="minorHAnsi" w:hAnsi="Times New Roman" w:cs="Times New Roman"/>
                <w:sz w:val="18"/>
                <w:szCs w:val="18"/>
                <w:lang w:val="ro-MD"/>
                <w14:ligatures w14:val="standardContextual"/>
              </w:rPr>
              <w:tab/>
              <w:t xml:space="preserve">băncile nu aplică tratamentul menţionat la punctele </w:t>
            </w:r>
            <w:r w:rsidR="00A67224" w:rsidRPr="008070DB">
              <w:rPr>
                <w:rFonts w:ascii="Times New Roman" w:eastAsiaTheme="minorHAnsi" w:hAnsi="Times New Roman" w:cs="Times New Roman"/>
                <w:sz w:val="18"/>
                <w:szCs w:val="18"/>
                <w:lang w:val="ro-MD"/>
                <w14:ligatures w14:val="standardContextual"/>
              </w:rPr>
              <w:t>4</w:t>
            </w:r>
            <w:r w:rsidRPr="008070DB">
              <w:rPr>
                <w:rFonts w:ascii="Times New Roman" w:eastAsiaTheme="minorHAnsi" w:hAnsi="Times New Roman" w:cs="Times New Roman"/>
                <w:sz w:val="18"/>
                <w:szCs w:val="18"/>
                <w:lang w:val="ro-MD"/>
                <w14:ligatures w14:val="standardContextual"/>
              </w:rPr>
              <w:t>5-</w:t>
            </w:r>
            <w:r w:rsidR="00A67224" w:rsidRPr="008070DB">
              <w:rPr>
                <w:rFonts w:ascii="Times New Roman" w:eastAsiaTheme="minorHAnsi" w:hAnsi="Times New Roman" w:cs="Times New Roman"/>
                <w:sz w:val="18"/>
                <w:szCs w:val="18"/>
                <w:lang w:val="ro-MD"/>
                <w14:ligatures w14:val="standardContextual"/>
              </w:rPr>
              <w:t>4</w:t>
            </w:r>
            <w:r w:rsidRPr="008070DB">
              <w:rPr>
                <w:rFonts w:ascii="Times New Roman" w:eastAsiaTheme="minorHAnsi" w:hAnsi="Times New Roman" w:cs="Times New Roman"/>
                <w:sz w:val="18"/>
                <w:szCs w:val="18"/>
                <w:lang w:val="ro-MD"/>
                <w14:ligatures w14:val="standardContextual"/>
              </w:rPr>
              <w:t xml:space="preserve">7; </w:t>
            </w:r>
          </w:p>
          <w:p w14:paraId="63FDC380" w14:textId="290F338D" w:rsidR="00EA7143" w:rsidRPr="008070DB" w:rsidRDefault="00EA7143" w:rsidP="003456B0">
            <w:pPr>
              <w:pStyle w:val="Default"/>
              <w:tabs>
                <w:tab w:val="left" w:pos="414"/>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0.2.</w:t>
            </w:r>
            <w:r w:rsidRPr="008070DB">
              <w:rPr>
                <w:rFonts w:ascii="Times New Roman" w:eastAsiaTheme="minorHAnsi" w:hAnsi="Times New Roman" w:cs="Times New Roman"/>
                <w:sz w:val="18"/>
                <w:szCs w:val="18"/>
                <w:lang w:val="ro-MD"/>
                <w14:ligatures w14:val="standardContextual"/>
              </w:rPr>
              <w:tab/>
              <w:t xml:space="preserve">prin derogare de la punctul </w:t>
            </w:r>
            <w:r w:rsidR="00A67224" w:rsidRPr="008070DB">
              <w:rPr>
                <w:rFonts w:ascii="Times New Roman" w:eastAsiaTheme="minorHAnsi" w:hAnsi="Times New Roman" w:cs="Times New Roman"/>
                <w:sz w:val="18"/>
                <w:szCs w:val="18"/>
                <w:lang w:val="ro-MD"/>
                <w14:ligatures w14:val="standardContextual"/>
              </w:rPr>
              <w:t>4</w:t>
            </w:r>
            <w:r w:rsidRPr="008070DB">
              <w:rPr>
                <w:rFonts w:ascii="Times New Roman" w:eastAsiaTheme="minorHAnsi" w:hAnsi="Times New Roman" w:cs="Times New Roman"/>
                <w:sz w:val="18"/>
                <w:szCs w:val="18"/>
                <w:lang w:val="ro-MD"/>
                <w14:ligatures w14:val="standardContextual"/>
              </w:rPr>
              <w:t xml:space="preserve">9, în cazul seturilor de compensare care nu sunt menţionate la punctul </w:t>
            </w:r>
            <w:r w:rsidR="00A67224" w:rsidRPr="008070DB">
              <w:rPr>
                <w:rFonts w:ascii="Times New Roman" w:eastAsiaTheme="minorHAnsi" w:hAnsi="Times New Roman" w:cs="Times New Roman"/>
                <w:sz w:val="18"/>
                <w:szCs w:val="18"/>
                <w:lang w:val="ro-MD"/>
                <w14:ligatures w14:val="standardContextual"/>
              </w:rPr>
              <w:t>5</w:t>
            </w:r>
            <w:r w:rsidRPr="008070DB">
              <w:rPr>
                <w:rFonts w:ascii="Times New Roman" w:eastAsiaTheme="minorHAnsi" w:hAnsi="Times New Roman" w:cs="Times New Roman"/>
                <w:sz w:val="18"/>
                <w:szCs w:val="18"/>
                <w:lang w:val="ro-MD"/>
                <w14:ligatures w14:val="standardContextual"/>
              </w:rPr>
              <w:t xml:space="preserve">0, băncile calculează costul de înlocuire în conformitate cu următoarea formulă: </w:t>
            </w:r>
          </w:p>
          <w:p w14:paraId="1941EBB4"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RC = max{CMV, 0}</w:t>
            </w:r>
          </w:p>
          <w:p w14:paraId="10FC28F1"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34BB6325"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RC = costul de înlocuire; și </w:t>
            </w:r>
          </w:p>
          <w:p w14:paraId="13D741C2"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CMV = valoarea de piaţă curentă.</w:t>
            </w:r>
          </w:p>
          <w:p w14:paraId="4402759C" w14:textId="558CEB26"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0.3.</w:t>
            </w:r>
            <w:r w:rsidRPr="008070DB">
              <w:rPr>
                <w:rFonts w:ascii="Times New Roman" w:eastAsiaTheme="minorHAnsi" w:hAnsi="Times New Roman" w:cs="Times New Roman"/>
                <w:sz w:val="18"/>
                <w:szCs w:val="18"/>
                <w:lang w:val="ro-MD"/>
                <w14:ligatures w14:val="standardContextual"/>
              </w:rPr>
              <w:tab/>
              <w:t xml:space="preserve">prin derogare de la punctul </w:t>
            </w:r>
            <w:r w:rsidR="00A67224" w:rsidRPr="008070DB">
              <w:rPr>
                <w:rFonts w:ascii="Times New Roman" w:eastAsiaTheme="minorHAnsi" w:hAnsi="Times New Roman" w:cs="Times New Roman"/>
                <w:sz w:val="18"/>
                <w:szCs w:val="18"/>
                <w:lang w:val="ro-MD"/>
                <w14:ligatures w14:val="standardContextual"/>
              </w:rPr>
              <w:t>5</w:t>
            </w:r>
            <w:r w:rsidRPr="008070DB">
              <w:rPr>
                <w:rFonts w:ascii="Times New Roman" w:eastAsiaTheme="minorHAnsi" w:hAnsi="Times New Roman" w:cs="Times New Roman"/>
                <w:sz w:val="18"/>
                <w:szCs w:val="18"/>
                <w:lang w:val="ro-MD"/>
                <w14:ligatures w14:val="standardContextual"/>
              </w:rPr>
              <w:t xml:space="preserve">0 din prezentul regulament, în cazul seturilor de compensare formate din tranzacţii care sunt tranzacţionate pe o bursă recunoscută sau care sunt compensate la nivel central de către o contraparte centrală autorizată în Uniunea Europeană ori </w:t>
            </w:r>
            <w:r w:rsidRPr="008070DB">
              <w:rPr>
                <w:rFonts w:ascii="Times New Roman" w:eastAsiaTheme="minorHAnsi" w:hAnsi="Times New Roman" w:cs="Times New Roman"/>
                <w:sz w:val="18"/>
                <w:szCs w:val="18"/>
                <w:lang w:val="ro-MD"/>
                <w14:ligatures w14:val="standardContextual"/>
              </w:rPr>
              <w:t xml:space="preserve">recunoscută într-o țară terță sau pentru care au loc schimburi bilaterale de garanţii reale cu contrapartea, băncile calculează costul de înlocuire în conformitate cu următoarea formulă: </w:t>
            </w:r>
          </w:p>
          <w:p w14:paraId="2D66BC1D"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RC = TH + MTA</w:t>
            </w:r>
          </w:p>
          <w:p w14:paraId="594B613A"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3BDDCCDB"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RC = costul de înlocuire; </w:t>
            </w:r>
          </w:p>
          <w:p w14:paraId="4708BEC8" w14:textId="618B9493"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TH = pragul de marjă aplicabil setului de compensare conform contractului în marjă sub care </w:t>
            </w:r>
            <w:r w:rsidR="00344EF4" w:rsidRPr="008070DB">
              <w:rPr>
                <w:rFonts w:ascii="Times New Roman" w:eastAsiaTheme="minorHAnsi" w:hAnsi="Times New Roman" w:cs="Times New Roman"/>
                <w:sz w:val="18"/>
                <w:szCs w:val="18"/>
                <w:lang w:val="ro-MD"/>
                <w14:ligatures w14:val="standardContextual"/>
              </w:rPr>
              <w:t>banca</w:t>
            </w:r>
            <w:r w:rsidRPr="008070DB">
              <w:rPr>
                <w:rFonts w:ascii="Times New Roman" w:eastAsiaTheme="minorHAnsi" w:hAnsi="Times New Roman" w:cs="Times New Roman"/>
                <w:sz w:val="18"/>
                <w:szCs w:val="18"/>
                <w:lang w:val="ro-MD"/>
                <w14:ligatures w14:val="standardContextual"/>
              </w:rPr>
              <w:t xml:space="preserve"> nu poate solicita garanţii reale; și </w:t>
            </w:r>
          </w:p>
          <w:p w14:paraId="358BD49A"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MTA = suma minimă de transfer aplicabilă setului de compensare conform contractului în marjă;</w:t>
            </w:r>
          </w:p>
          <w:p w14:paraId="5067D888" w14:textId="0462BD93"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0.4.</w:t>
            </w:r>
            <w:r w:rsidRPr="008070DB">
              <w:rPr>
                <w:rFonts w:ascii="Times New Roman" w:eastAsiaTheme="minorHAnsi" w:hAnsi="Times New Roman" w:cs="Times New Roman"/>
                <w:sz w:val="18"/>
                <w:szCs w:val="18"/>
                <w:lang w:val="ro-MD"/>
                <w14:ligatures w14:val="standardContextual"/>
              </w:rPr>
              <w:tab/>
              <w:t xml:space="preserve">prin derogare de la punctul </w:t>
            </w:r>
            <w:r w:rsidR="00A67224" w:rsidRPr="008070DB">
              <w:rPr>
                <w:rFonts w:ascii="Times New Roman" w:eastAsiaTheme="minorHAnsi" w:hAnsi="Times New Roman" w:cs="Times New Roman"/>
                <w:sz w:val="18"/>
                <w:szCs w:val="18"/>
                <w:lang w:val="ro-MD"/>
                <w14:ligatures w14:val="standardContextual"/>
              </w:rPr>
              <w:t>51</w:t>
            </w:r>
            <w:r w:rsidRPr="008070DB">
              <w:rPr>
                <w:rFonts w:ascii="Times New Roman" w:eastAsiaTheme="minorHAnsi" w:hAnsi="Times New Roman" w:cs="Times New Roman"/>
                <w:sz w:val="18"/>
                <w:szCs w:val="18"/>
                <w:lang w:val="ro-MD"/>
                <w14:ligatures w14:val="standardContextual"/>
              </w:rPr>
              <w:t xml:space="preserve">, în cazul seturilor de compensare multiple care fac obiectul unui contract în marjă, băncile calculează costul de înlocuire ca fiind suma costurilor de înlocuire ale fiecărui set de compensare individual, calculate în conformitate cu punctul </w:t>
            </w:r>
            <w:r w:rsidR="00A67224" w:rsidRPr="008070DB">
              <w:rPr>
                <w:rFonts w:ascii="Times New Roman" w:eastAsiaTheme="minorHAnsi" w:hAnsi="Times New Roman" w:cs="Times New Roman"/>
                <w:sz w:val="18"/>
                <w:szCs w:val="18"/>
                <w:lang w:val="ro-MD"/>
                <w14:ligatures w14:val="standardContextual"/>
              </w:rPr>
              <w:t>9</w:t>
            </w:r>
            <w:r w:rsidRPr="008070DB">
              <w:rPr>
                <w:rFonts w:ascii="Times New Roman" w:eastAsiaTheme="minorHAnsi" w:hAnsi="Times New Roman" w:cs="Times New Roman"/>
                <w:sz w:val="18"/>
                <w:szCs w:val="18"/>
                <w:lang w:val="ro-MD"/>
                <w14:ligatures w14:val="standardContextual"/>
              </w:rPr>
              <w:t xml:space="preserve">9 ca și cum acestea nu ar face obiectul cerinţelor de marjă; </w:t>
            </w:r>
          </w:p>
          <w:p w14:paraId="3AEAC946" w14:textId="6BEDA11F"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0.5.</w:t>
            </w:r>
            <w:r w:rsidRPr="008070DB">
              <w:rPr>
                <w:rFonts w:ascii="Times New Roman" w:eastAsiaTheme="minorHAnsi" w:hAnsi="Times New Roman" w:cs="Times New Roman"/>
                <w:sz w:val="18"/>
                <w:szCs w:val="18"/>
                <w:lang w:val="ro-MD"/>
                <w14:ligatures w14:val="standardContextual"/>
              </w:rPr>
              <w:tab/>
              <w:t xml:space="preserve">toate seturile de acoperire a riscului se stabilesc în conformitate cu punctele </w:t>
            </w:r>
            <w:r w:rsidR="0003092F" w:rsidRPr="008070DB">
              <w:rPr>
                <w:rFonts w:ascii="Times New Roman" w:eastAsiaTheme="minorHAnsi" w:hAnsi="Times New Roman" w:cs="Times New Roman"/>
                <w:sz w:val="18"/>
                <w:szCs w:val="18"/>
                <w:lang w:val="ro-MD"/>
                <w14:ligatures w14:val="standardContextual"/>
              </w:rPr>
              <w:t>5</w:t>
            </w:r>
            <w:r w:rsidRPr="008070DB">
              <w:rPr>
                <w:rFonts w:ascii="Times New Roman" w:eastAsiaTheme="minorHAnsi" w:hAnsi="Times New Roman" w:cs="Times New Roman"/>
                <w:sz w:val="18"/>
                <w:szCs w:val="18"/>
                <w:lang w:val="ro-MD"/>
                <w14:ligatures w14:val="standardContextual"/>
              </w:rPr>
              <w:t xml:space="preserve">9 și </w:t>
            </w:r>
            <w:r w:rsidR="0003092F" w:rsidRPr="008070DB">
              <w:rPr>
                <w:rFonts w:ascii="Times New Roman" w:eastAsiaTheme="minorHAnsi" w:hAnsi="Times New Roman" w:cs="Times New Roman"/>
                <w:sz w:val="18"/>
                <w:szCs w:val="18"/>
                <w:lang w:val="ro-MD"/>
                <w14:ligatures w14:val="standardContextual"/>
              </w:rPr>
              <w:t>6</w:t>
            </w:r>
            <w:r w:rsidRPr="008070DB">
              <w:rPr>
                <w:rFonts w:ascii="Times New Roman" w:eastAsiaTheme="minorHAnsi" w:hAnsi="Times New Roman" w:cs="Times New Roman"/>
                <w:sz w:val="18"/>
                <w:szCs w:val="18"/>
                <w:lang w:val="ro-MD"/>
                <w14:ligatures w14:val="standardContextual"/>
              </w:rPr>
              <w:t xml:space="preserve">0; </w:t>
            </w:r>
          </w:p>
          <w:p w14:paraId="5C386389" w14:textId="5B7BC0B8"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0.6.</w:t>
            </w:r>
            <w:r w:rsidRPr="008070DB">
              <w:rPr>
                <w:rFonts w:ascii="Times New Roman" w:eastAsiaTheme="minorHAnsi" w:hAnsi="Times New Roman" w:cs="Times New Roman"/>
                <w:sz w:val="18"/>
                <w:szCs w:val="18"/>
                <w:lang w:val="ro-MD"/>
                <w14:ligatures w14:val="standardContextual"/>
              </w:rPr>
              <w:tab/>
              <w:t xml:space="preserve">băncile stabilesc ca multiplicatorul din formula care este folosită pentru a calcula expunerea viitoare potenţială de la punctul </w:t>
            </w:r>
            <w:r w:rsidR="0003092F" w:rsidRPr="008070DB">
              <w:rPr>
                <w:rFonts w:ascii="Times New Roman" w:eastAsiaTheme="minorHAnsi" w:hAnsi="Times New Roman" w:cs="Times New Roman"/>
                <w:sz w:val="18"/>
                <w:szCs w:val="18"/>
                <w:lang w:val="ro-MD"/>
                <w14:ligatures w14:val="standardContextual"/>
              </w:rPr>
              <w:t>6</w:t>
            </w:r>
            <w:r w:rsidRPr="008070DB">
              <w:rPr>
                <w:rFonts w:ascii="Times New Roman" w:eastAsiaTheme="minorHAnsi" w:hAnsi="Times New Roman" w:cs="Times New Roman"/>
                <w:sz w:val="18"/>
                <w:szCs w:val="18"/>
                <w:lang w:val="ro-MD"/>
                <w14:ligatures w14:val="standardContextual"/>
              </w:rPr>
              <w:t xml:space="preserve">6 să fie egal cu 1, după cum urmează: </w:t>
            </w:r>
          </w:p>
          <w:p w14:paraId="7A4F6831" w14:textId="0F3A9EED"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noProof/>
                <w:sz w:val="18"/>
                <w:szCs w:val="18"/>
                <w:lang w:val="ro-MD"/>
                <w14:ligatures w14:val="standardContextual"/>
              </w:rPr>
              <w:drawing>
                <wp:inline distT="0" distB="0" distL="0" distR="0" wp14:anchorId="5D726330" wp14:editId="419F16CD">
                  <wp:extent cx="1031358" cy="28069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036127" cy="281996"/>
                          </a:xfrm>
                          <a:prstGeom prst="rect">
                            <a:avLst/>
                          </a:prstGeom>
                          <a:noFill/>
                        </pic:spPr>
                      </pic:pic>
                    </a:graphicData>
                  </a:graphic>
                </wp:inline>
              </w:drawing>
            </w:r>
          </w:p>
          <w:p w14:paraId="535D0F71"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342654C4"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PFE = expunere viitoare potenţială; și </w:t>
            </w:r>
          </w:p>
          <w:p w14:paraId="3D8EC090"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AddOn(a) = majorarea pentru categoria de risc „a”; </w:t>
            </w:r>
          </w:p>
          <w:p w14:paraId="287E3A97" w14:textId="6985EA38"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A67224"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0.7. prin derogare de la punctul </w:t>
            </w:r>
            <w:r w:rsidR="0003092F" w:rsidRPr="008070DB">
              <w:rPr>
                <w:rFonts w:ascii="Times New Roman" w:eastAsiaTheme="minorHAnsi" w:hAnsi="Times New Roman" w:cs="Times New Roman"/>
                <w:sz w:val="18"/>
                <w:szCs w:val="18"/>
                <w:lang w:val="ro-MD"/>
                <w14:ligatures w14:val="standardContextual"/>
              </w:rPr>
              <w:t>7</w:t>
            </w:r>
            <w:r w:rsidRPr="008070DB">
              <w:rPr>
                <w:rFonts w:ascii="Times New Roman" w:eastAsiaTheme="minorHAnsi" w:hAnsi="Times New Roman" w:cs="Times New Roman"/>
                <w:sz w:val="18"/>
                <w:szCs w:val="18"/>
                <w:lang w:val="ro-MD"/>
                <w14:ligatures w14:val="standardContextual"/>
              </w:rPr>
              <w:t>0, în cazul tuturor tranzacţiilor băncile calculează delta reglementată după cum urmează</w:t>
            </w:r>
          </w:p>
          <w:p w14:paraId="0D9A8A60"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p>
          <w:p w14:paraId="7CBB3E57" w14:textId="77777777" w:rsidR="00EA7143" w:rsidRPr="008070DB" w:rsidRDefault="00EA7143" w:rsidP="003456B0">
            <w:pPr>
              <w:pStyle w:val="Default"/>
              <w:tabs>
                <w:tab w:val="left" w:pos="428"/>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δ =</w:t>
            </w:r>
            <w:r w:rsidRPr="008070DB">
              <w:rPr>
                <w:rFonts w:ascii="Times New Roman" w:eastAsiaTheme="minorHAnsi" w:hAnsi="Times New Roman" w:cs="Times New Roman"/>
                <w:sz w:val="18"/>
                <w:szCs w:val="18"/>
                <w:lang w:val="ro-MD"/>
                <w14:ligatures w14:val="standardContextual"/>
              </w:rPr>
              <w:tab/>
              <w:t>{</w:t>
            </w:r>
            <w:r w:rsidRPr="008070DB">
              <w:rPr>
                <w:rFonts w:ascii="Times New Roman" w:eastAsiaTheme="minorHAnsi" w:hAnsi="Times New Roman" w:cs="Times New Roman"/>
                <w:sz w:val="18"/>
                <w:szCs w:val="18"/>
                <w:lang w:val="ro-MD"/>
                <w14:ligatures w14:val="standardContextual"/>
              </w:rPr>
              <w:tab/>
              <w:t xml:space="preserve">+ 1 dacă tranzacţia este o poziţie lungă pe determinantul de risc principal </w:t>
            </w:r>
          </w:p>
          <w:p w14:paraId="36539C06" w14:textId="77777777" w:rsidR="00EA7143" w:rsidRPr="008070DB" w:rsidRDefault="00EA7143" w:rsidP="003456B0">
            <w:pPr>
              <w:pStyle w:val="Default"/>
              <w:tabs>
                <w:tab w:val="left" w:pos="428"/>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ab/>
            </w:r>
            <w:r w:rsidRPr="008070DB">
              <w:rPr>
                <w:rFonts w:ascii="Times New Roman" w:eastAsiaTheme="minorHAnsi" w:hAnsi="Times New Roman" w:cs="Times New Roman"/>
                <w:sz w:val="18"/>
                <w:szCs w:val="18"/>
                <w:lang w:val="ro-MD"/>
                <w14:ligatures w14:val="standardContextual"/>
              </w:rPr>
              <w:tab/>
              <w:t xml:space="preserve">– 1 dacă tranzacţia este o poziţie scurtă pe determinantul de risc principal </w:t>
            </w:r>
          </w:p>
          <w:p w14:paraId="409554F1"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p>
          <w:p w14:paraId="3BE87552" w14:textId="601690D0"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0.8. formula, menţionată la punctul </w:t>
            </w:r>
            <w:r w:rsidR="0003092F" w:rsidRPr="008070DB">
              <w:rPr>
                <w:rFonts w:ascii="Times New Roman" w:eastAsiaTheme="minorHAnsi" w:hAnsi="Times New Roman" w:cs="Times New Roman"/>
                <w:sz w:val="18"/>
                <w:szCs w:val="18"/>
                <w:lang w:val="ro-MD"/>
                <w14:ligatures w14:val="standardContextual"/>
              </w:rPr>
              <w:t>7</w:t>
            </w:r>
            <w:r w:rsidRPr="008070DB">
              <w:rPr>
                <w:rFonts w:ascii="Times New Roman" w:eastAsiaTheme="minorHAnsi" w:hAnsi="Times New Roman" w:cs="Times New Roman"/>
                <w:sz w:val="18"/>
                <w:szCs w:val="18"/>
                <w:lang w:val="ro-MD"/>
                <w14:ligatures w14:val="standardContextual"/>
              </w:rPr>
              <w:t xml:space="preserve">2 subpunctul </w:t>
            </w:r>
            <w:r w:rsidR="0003092F" w:rsidRPr="008070DB">
              <w:rPr>
                <w:rFonts w:ascii="Times New Roman" w:eastAsiaTheme="minorHAnsi" w:hAnsi="Times New Roman" w:cs="Times New Roman"/>
                <w:sz w:val="18"/>
                <w:szCs w:val="18"/>
                <w:lang w:val="ro-MD"/>
                <w14:ligatures w14:val="standardContextual"/>
              </w:rPr>
              <w:t>7</w:t>
            </w:r>
            <w:r w:rsidRPr="008070DB">
              <w:rPr>
                <w:rFonts w:ascii="Times New Roman" w:eastAsiaTheme="minorHAnsi" w:hAnsi="Times New Roman" w:cs="Times New Roman"/>
                <w:sz w:val="18"/>
                <w:szCs w:val="18"/>
                <w:lang w:val="ro-MD"/>
                <w14:ligatures w14:val="standardContextual"/>
              </w:rPr>
              <w:t xml:space="preserve">2.1., care este utilizată pentru a calcula factorul duratei reglementat este următoarea: </w:t>
            </w:r>
          </w:p>
          <w:p w14:paraId="5FE9A779"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lastRenderedPageBreak/>
              <w:t>factorul duratei reglementat=E – S</w:t>
            </w:r>
          </w:p>
          <w:p w14:paraId="21CAC13F"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7A646420"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E = perioada dintre data de încetare a unei tranzacţii și data raportării; și </w:t>
            </w:r>
          </w:p>
          <w:p w14:paraId="78622272"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S = perioada dintre data de începere a unei tranzacţii și data raportării; </w:t>
            </w:r>
          </w:p>
          <w:p w14:paraId="67D0754F" w14:textId="46FD4A3E"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0.9. factorul de scadenţă prevăzut la punctul </w:t>
            </w:r>
            <w:r w:rsidR="0003092F" w:rsidRPr="008070DB">
              <w:rPr>
                <w:rFonts w:ascii="Times New Roman" w:eastAsiaTheme="minorHAnsi" w:hAnsi="Times New Roman" w:cs="Times New Roman"/>
                <w:sz w:val="18"/>
                <w:szCs w:val="18"/>
                <w:lang w:val="ro-MD"/>
                <w14:ligatures w14:val="standardContextual"/>
              </w:rPr>
              <w:t>7</w:t>
            </w:r>
            <w:r w:rsidRPr="008070DB">
              <w:rPr>
                <w:rFonts w:ascii="Times New Roman" w:eastAsiaTheme="minorHAnsi" w:hAnsi="Times New Roman" w:cs="Times New Roman"/>
                <w:sz w:val="18"/>
                <w:szCs w:val="18"/>
                <w:lang w:val="ro-MD"/>
                <w14:ligatures w14:val="standardContextual"/>
              </w:rPr>
              <w:t xml:space="preserve">5 se calculează după cum urmează: </w:t>
            </w:r>
          </w:p>
          <w:p w14:paraId="43314851" w14:textId="2BC8A8F0"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0.9.1. în cazul tranzacţiilor incluse în seturile de compensare menţionate la punctul </w:t>
            </w:r>
            <w:r w:rsidR="0003092F" w:rsidRPr="008070DB">
              <w:rPr>
                <w:rFonts w:ascii="Times New Roman" w:eastAsiaTheme="minorHAnsi" w:hAnsi="Times New Roman" w:cs="Times New Roman"/>
                <w:sz w:val="18"/>
                <w:szCs w:val="18"/>
                <w:lang w:val="ro-MD"/>
                <w14:ligatures w14:val="standardContextual"/>
              </w:rPr>
              <w:t>4</w:t>
            </w:r>
            <w:r w:rsidRPr="008070DB">
              <w:rPr>
                <w:rFonts w:ascii="Times New Roman" w:eastAsiaTheme="minorHAnsi" w:hAnsi="Times New Roman" w:cs="Times New Roman"/>
                <w:sz w:val="18"/>
                <w:szCs w:val="18"/>
                <w:lang w:val="ro-MD"/>
                <w14:ligatures w14:val="standardContextual"/>
              </w:rPr>
              <w:t xml:space="preserve">9, MF = 1; </w:t>
            </w:r>
          </w:p>
          <w:p w14:paraId="54B0257D" w14:textId="013CF8BE"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0.9.2. în cazul tranzacţiilor incluse în seturile de compensare menţionate la punctele </w:t>
            </w:r>
            <w:r w:rsidR="0003092F" w:rsidRPr="008070DB">
              <w:rPr>
                <w:rFonts w:ascii="Times New Roman" w:eastAsiaTheme="minorHAnsi" w:hAnsi="Times New Roman" w:cs="Times New Roman"/>
                <w:sz w:val="18"/>
                <w:szCs w:val="18"/>
                <w:lang w:val="ro-MD"/>
                <w14:ligatures w14:val="standardContextual"/>
              </w:rPr>
              <w:t>5</w:t>
            </w:r>
            <w:r w:rsidRPr="008070DB">
              <w:rPr>
                <w:rFonts w:ascii="Times New Roman" w:eastAsiaTheme="minorHAnsi" w:hAnsi="Times New Roman" w:cs="Times New Roman"/>
                <w:sz w:val="18"/>
                <w:szCs w:val="18"/>
                <w:lang w:val="ro-MD"/>
                <w14:ligatures w14:val="standardContextual"/>
              </w:rPr>
              <w:t xml:space="preserve">0 și </w:t>
            </w:r>
            <w:r w:rsidR="0003092F" w:rsidRPr="008070DB">
              <w:rPr>
                <w:rFonts w:ascii="Times New Roman" w:eastAsiaTheme="minorHAnsi" w:hAnsi="Times New Roman" w:cs="Times New Roman"/>
                <w:sz w:val="18"/>
                <w:szCs w:val="18"/>
                <w:lang w:val="ro-MD"/>
                <w14:ligatures w14:val="standardContextual"/>
              </w:rPr>
              <w:t>5</w:t>
            </w:r>
            <w:r w:rsidRPr="008070DB">
              <w:rPr>
                <w:rFonts w:ascii="Times New Roman" w:eastAsiaTheme="minorHAnsi" w:hAnsi="Times New Roman" w:cs="Times New Roman"/>
                <w:sz w:val="18"/>
                <w:szCs w:val="18"/>
                <w:lang w:val="ro-MD"/>
                <w14:ligatures w14:val="standardContextual"/>
              </w:rPr>
              <w:t xml:space="preserve">1, MF = 0,42; </w:t>
            </w:r>
          </w:p>
          <w:p w14:paraId="049B12FE" w14:textId="169156D6"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0.10. formula, menţionată la punctul </w:t>
            </w:r>
            <w:r w:rsidR="0003092F" w:rsidRPr="008070DB">
              <w:rPr>
                <w:rFonts w:ascii="Times New Roman" w:eastAsiaTheme="minorHAnsi" w:hAnsi="Times New Roman" w:cs="Times New Roman"/>
                <w:sz w:val="18"/>
                <w:szCs w:val="18"/>
                <w:lang w:val="ro-MD"/>
                <w14:ligatures w14:val="standardContextual"/>
              </w:rPr>
              <w:t>8</w:t>
            </w:r>
            <w:r w:rsidRPr="008070DB">
              <w:rPr>
                <w:rFonts w:ascii="Times New Roman" w:eastAsiaTheme="minorHAnsi" w:hAnsi="Times New Roman" w:cs="Times New Roman"/>
                <w:sz w:val="18"/>
                <w:szCs w:val="18"/>
                <w:lang w:val="ro-MD"/>
                <w14:ligatures w14:val="standardContextual"/>
              </w:rPr>
              <w:t xml:space="preserve">0, care este utilizată pentru a calcula valoarea noţională efectivă a setului de acoperire a riscului „j” este următoarea: </w:t>
            </w:r>
          </w:p>
          <w:p w14:paraId="4C3440F0" w14:textId="68013A49"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Pr="008070DB">
              <w:rPr>
                <w:rFonts w:ascii="Times New Roman" w:eastAsiaTheme="minorHAnsi" w:hAnsi="Times New Roman" w:cs="Times New Roman"/>
                <w:noProof/>
                <w:sz w:val="18"/>
                <w:szCs w:val="18"/>
                <w:lang w:val="ro-MD"/>
                <w14:ligatures w14:val="standardContextual"/>
              </w:rPr>
              <w:drawing>
                <wp:inline distT="0" distB="0" distL="0" distR="0" wp14:anchorId="1225FD08" wp14:editId="5668CEB5">
                  <wp:extent cx="2298700" cy="280670"/>
                  <wp:effectExtent l="0" t="0" r="635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298700" cy="280670"/>
                          </a:xfrm>
                          <a:prstGeom prst="rect">
                            <a:avLst/>
                          </a:prstGeom>
                          <a:noFill/>
                        </pic:spPr>
                      </pic:pic>
                    </a:graphicData>
                  </a:graphic>
                </wp:inline>
              </w:drawing>
            </w:r>
          </w:p>
          <w:p w14:paraId="0BAC068A"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61839D52" w14:textId="62601E2D"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Pr="008070DB">
              <w:rPr>
                <w:rFonts w:ascii="Times New Roman" w:eastAsiaTheme="minorHAnsi" w:hAnsi="Times New Roman" w:cs="Times New Roman"/>
                <w:noProof/>
                <w:sz w:val="18"/>
                <w:szCs w:val="18"/>
                <w:lang w:val="ro-MD"/>
                <w14:ligatures w14:val="standardContextual"/>
              </w:rPr>
              <w:drawing>
                <wp:inline distT="0" distB="0" distL="0" distR="0" wp14:anchorId="46CE8761" wp14:editId="18071292">
                  <wp:extent cx="615950" cy="2559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15950" cy="255905"/>
                          </a:xfrm>
                          <a:prstGeom prst="rect">
                            <a:avLst/>
                          </a:prstGeom>
                          <a:noFill/>
                        </pic:spPr>
                      </pic:pic>
                    </a:graphicData>
                  </a:graphic>
                </wp:inline>
              </w:drawing>
            </w:r>
            <w:r w:rsidRPr="008070DB">
              <w:rPr>
                <w:rFonts w:ascii="Times New Roman" w:eastAsiaTheme="minorHAnsi" w:hAnsi="Times New Roman" w:cs="Times New Roman"/>
                <w:sz w:val="18"/>
                <w:szCs w:val="18"/>
                <w:lang w:val="ro-MD"/>
                <w14:ligatures w14:val="standardContextual"/>
              </w:rPr>
              <w:t xml:space="preserve">= valoarea noţională efectivă a setului de acoperire a riscului „j”; și </w:t>
            </w:r>
          </w:p>
          <w:p w14:paraId="11372DAE"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Dj,k = valoarea noţională efectivă a benzii „k” a setului de acoperire a riscului „j”; </w:t>
            </w:r>
          </w:p>
          <w:p w14:paraId="0CE02C5A" w14:textId="6DCEFBC4"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0.11. formula menţionată la punctul </w:t>
            </w:r>
            <w:r w:rsidR="0003092F" w:rsidRPr="008070DB">
              <w:rPr>
                <w:rFonts w:ascii="Times New Roman" w:eastAsiaTheme="minorHAnsi" w:hAnsi="Times New Roman" w:cs="Times New Roman"/>
                <w:sz w:val="18"/>
                <w:szCs w:val="18"/>
                <w:lang w:val="ro-MD"/>
                <w14:ligatures w14:val="standardContextual"/>
              </w:rPr>
              <w:t>8</w:t>
            </w:r>
            <w:r w:rsidRPr="008070DB">
              <w:rPr>
                <w:rFonts w:ascii="Times New Roman" w:eastAsiaTheme="minorHAnsi" w:hAnsi="Times New Roman" w:cs="Times New Roman"/>
                <w:sz w:val="18"/>
                <w:szCs w:val="18"/>
                <w:lang w:val="ro-MD"/>
                <w14:ligatures w14:val="standardContextual"/>
              </w:rPr>
              <w:t xml:space="preserve">5 care este utilizată pentru a calcula majorarea aferentă categoriei de risc de credit pentru setul de acoperire a riscului „j” se citește după cum urmează: </w:t>
            </w:r>
          </w:p>
          <w:p w14:paraId="0F123EC2" w14:textId="65BB06D6"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Pr="008070DB">
              <w:rPr>
                <w:rFonts w:ascii="Times New Roman" w:eastAsiaTheme="minorHAnsi" w:hAnsi="Times New Roman" w:cs="Times New Roman"/>
                <w:noProof/>
                <w:sz w:val="18"/>
                <w:szCs w:val="18"/>
                <w:lang w:val="ro-MD"/>
                <w14:ligatures w14:val="standardContextual"/>
              </w:rPr>
              <w:drawing>
                <wp:inline distT="0" distB="0" distL="0" distR="0" wp14:anchorId="6255F1E8" wp14:editId="39AE107B">
                  <wp:extent cx="2609215" cy="38989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609215" cy="389890"/>
                          </a:xfrm>
                          <a:prstGeom prst="rect">
                            <a:avLst/>
                          </a:prstGeom>
                          <a:noFill/>
                        </pic:spPr>
                      </pic:pic>
                    </a:graphicData>
                  </a:graphic>
                </wp:inline>
              </w:drawing>
            </w:r>
          </w:p>
          <w:p w14:paraId="49FE4595"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3AC04C4E" w14:textId="4C47546C"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Pr="008070DB">
              <w:rPr>
                <w:rFonts w:ascii="Times New Roman" w:eastAsiaTheme="minorHAnsi" w:hAnsi="Times New Roman" w:cs="Times New Roman"/>
                <w:noProof/>
                <w:sz w:val="18"/>
                <w:szCs w:val="18"/>
                <w:lang w:val="ro-MD"/>
                <w14:ligatures w14:val="standardContextual"/>
              </w:rPr>
              <w:drawing>
                <wp:inline distT="0" distB="0" distL="0" distR="0" wp14:anchorId="525FCBEB" wp14:editId="70962CF3">
                  <wp:extent cx="725170" cy="2317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25170" cy="231775"/>
                          </a:xfrm>
                          <a:prstGeom prst="rect">
                            <a:avLst/>
                          </a:prstGeom>
                          <a:noFill/>
                        </pic:spPr>
                      </pic:pic>
                    </a:graphicData>
                  </a:graphic>
                </wp:inline>
              </w:drawing>
            </w:r>
            <w:r w:rsidRPr="008070DB">
              <w:rPr>
                <w:rFonts w:ascii="Times New Roman" w:eastAsiaTheme="minorHAnsi" w:hAnsi="Times New Roman" w:cs="Times New Roman"/>
                <w:sz w:val="18"/>
                <w:szCs w:val="18"/>
                <w:lang w:val="ro-MD"/>
                <w14:ligatures w14:val="standardContextual"/>
              </w:rPr>
              <w:t xml:space="preserve"> = majorarea aferentă categoriei de risc de credit pentru setul de acoperire a riscului „j”; și </w:t>
            </w:r>
          </w:p>
          <w:p w14:paraId="7E3C2ABE"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AddOn(Entitatek) = majorarea aferentă entităţii de referinţă privind creditul „k”; </w:t>
            </w:r>
          </w:p>
          <w:p w14:paraId="6540B621" w14:textId="3EB499CA"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0.12. formula menţionată la punctul </w:t>
            </w:r>
            <w:r w:rsidR="0003092F" w:rsidRPr="008070DB">
              <w:rPr>
                <w:rFonts w:ascii="Times New Roman" w:eastAsiaTheme="minorHAnsi" w:hAnsi="Times New Roman" w:cs="Times New Roman"/>
                <w:sz w:val="18"/>
                <w:szCs w:val="18"/>
                <w:lang w:val="ro-MD"/>
                <w14:ligatures w14:val="standardContextual"/>
              </w:rPr>
              <w:t>9</w:t>
            </w:r>
            <w:r w:rsidRPr="008070DB">
              <w:rPr>
                <w:rFonts w:ascii="Times New Roman" w:eastAsiaTheme="minorHAnsi" w:hAnsi="Times New Roman" w:cs="Times New Roman"/>
                <w:sz w:val="18"/>
                <w:szCs w:val="18"/>
                <w:lang w:val="ro-MD"/>
                <w14:ligatures w14:val="standardContextual"/>
              </w:rPr>
              <w:t xml:space="preserve">0 care este utilizată pentru a calcula majorarea aferentă categoriei de </w:t>
            </w:r>
            <w:r w:rsidRPr="008070DB">
              <w:rPr>
                <w:rFonts w:ascii="Times New Roman" w:eastAsiaTheme="minorHAnsi" w:hAnsi="Times New Roman" w:cs="Times New Roman"/>
                <w:sz w:val="18"/>
                <w:szCs w:val="18"/>
                <w:lang w:val="ro-MD"/>
                <w14:ligatures w14:val="standardContextual"/>
              </w:rPr>
              <w:lastRenderedPageBreak/>
              <w:t xml:space="preserve">risc privind titlurile de capital pentru setul de acoperire a riscului „j” se citește după cum urmează: </w:t>
            </w:r>
          </w:p>
          <w:p w14:paraId="7E97FA9C" w14:textId="57B83535"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008E1AF8" w:rsidRPr="008070DB">
              <w:rPr>
                <w:rFonts w:ascii="Times New Roman" w:eastAsiaTheme="minorHAnsi" w:hAnsi="Times New Roman" w:cs="Times New Roman"/>
                <w:noProof/>
                <w:sz w:val="18"/>
                <w:szCs w:val="18"/>
                <w:lang w:val="ro-MD"/>
                <w14:ligatures w14:val="standardContextual"/>
              </w:rPr>
              <w:drawing>
                <wp:inline distT="0" distB="0" distL="0" distR="0" wp14:anchorId="48CFA2A2" wp14:editId="5ECC1E6D">
                  <wp:extent cx="2822575" cy="3536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22575" cy="353695"/>
                          </a:xfrm>
                          <a:prstGeom prst="rect">
                            <a:avLst/>
                          </a:prstGeom>
                          <a:noFill/>
                        </pic:spPr>
                      </pic:pic>
                    </a:graphicData>
                  </a:graphic>
                </wp:inline>
              </w:drawing>
            </w:r>
          </w:p>
          <w:p w14:paraId="27761EB8"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79854FFB" w14:textId="70480D1D" w:rsidR="00EA7143" w:rsidRPr="008070DB" w:rsidRDefault="008E1AF8" w:rsidP="003456B0">
            <w:pPr>
              <w:pStyle w:val="Default"/>
              <w:jc w:val="both"/>
              <w:rPr>
                <w:rFonts w:ascii="Times New Roman" w:eastAsiaTheme="minorHAnsi" w:hAnsi="Times New Roman" w:cs="Times New Roman"/>
                <w:sz w:val="18"/>
                <w:szCs w:val="18"/>
                <w:lang w:val="ro-MD"/>
                <w14:ligatures w14:val="standardContextual"/>
              </w:rPr>
            </w:pPr>
            <w:r w:rsidRPr="008070DB">
              <w:rPr>
                <w:noProof/>
                <w:sz w:val="18"/>
                <w:szCs w:val="18"/>
              </w:rPr>
              <w:drawing>
                <wp:inline distT="0" distB="0" distL="0" distR="0" wp14:anchorId="172BFBDC" wp14:editId="0D69F72C">
                  <wp:extent cx="1130060" cy="226012"/>
                  <wp:effectExtent l="0" t="0" r="0" b="3175"/>
                  <wp:docPr id="1917274136" name="Picture 191727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153080" cy="230616"/>
                          </a:xfrm>
                          <a:prstGeom prst="rect">
                            <a:avLst/>
                          </a:prstGeom>
                          <a:noFill/>
                        </pic:spPr>
                      </pic:pic>
                    </a:graphicData>
                  </a:graphic>
                </wp:inline>
              </w:drawing>
            </w:r>
            <w:r w:rsidR="00EA7143" w:rsidRPr="008070DB">
              <w:rPr>
                <w:rFonts w:ascii="Times New Roman" w:eastAsiaTheme="minorHAnsi" w:hAnsi="Times New Roman" w:cs="Times New Roman"/>
                <w:sz w:val="18"/>
                <w:szCs w:val="18"/>
                <w:lang w:val="ro-MD"/>
                <w14:ligatures w14:val="standardContextual"/>
              </w:rPr>
              <w:t xml:space="preserve">= majorarea aferentă categoriei de risc privind titlurile de capital pentru setul de acoperire a riscului „j”; și </w:t>
            </w:r>
          </w:p>
          <w:p w14:paraId="0A5A59E8"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AddOn(Entitatek) = majorarea aferentă entităţii de referinţă privind creditul „k”; </w:t>
            </w:r>
          </w:p>
          <w:p w14:paraId="4737C75D" w14:textId="7A7DC8BF"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w:t>
            </w:r>
            <w:r w:rsidR="0003092F"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t xml:space="preserve">0.13. formula menţionată la punctul </w:t>
            </w:r>
            <w:r w:rsidR="0003092F" w:rsidRPr="008070DB">
              <w:rPr>
                <w:rFonts w:ascii="Times New Roman" w:eastAsiaTheme="minorHAnsi" w:hAnsi="Times New Roman" w:cs="Times New Roman"/>
                <w:sz w:val="18"/>
                <w:szCs w:val="18"/>
                <w:lang w:val="ro-MD"/>
                <w14:ligatures w14:val="standardContextual"/>
              </w:rPr>
              <w:t>9</w:t>
            </w:r>
            <w:r w:rsidRPr="008070DB">
              <w:rPr>
                <w:rFonts w:ascii="Times New Roman" w:eastAsiaTheme="minorHAnsi" w:hAnsi="Times New Roman" w:cs="Times New Roman"/>
                <w:sz w:val="18"/>
                <w:szCs w:val="18"/>
                <w:lang w:val="ro-MD"/>
                <w14:ligatures w14:val="standardContextual"/>
              </w:rPr>
              <w:t xml:space="preserve">5 care este utilizată pentru a calcula majorarea aferentă categoriei de risc de marfă pentru setul de acoperire a riscului „j” se citește după cum urmează: </w:t>
            </w:r>
          </w:p>
          <w:p w14:paraId="41E80976" w14:textId="4335702D" w:rsidR="00EA7143" w:rsidRPr="008070DB" w:rsidRDefault="00EA7143" w:rsidP="003456B0">
            <w:pPr>
              <w:pStyle w:val="Default"/>
              <w:tabs>
                <w:tab w:val="center" w:pos="2070"/>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008E1AF8" w:rsidRPr="008070DB">
              <w:rPr>
                <w:rFonts w:ascii="Times New Roman" w:eastAsiaTheme="minorHAnsi" w:hAnsi="Times New Roman" w:cs="Times New Roman"/>
                <w:sz w:val="18"/>
                <w:szCs w:val="18"/>
                <w:lang w:val="ro-MD"/>
                <w14:ligatures w14:val="standardContextual"/>
              </w:rPr>
              <w:tab/>
            </w:r>
            <w:r w:rsidR="008E1AF8" w:rsidRPr="008070DB">
              <w:rPr>
                <w:noProof/>
                <w:sz w:val="18"/>
                <w:szCs w:val="18"/>
              </w:rPr>
              <w:drawing>
                <wp:inline distT="0" distB="0" distL="0" distR="0" wp14:anchorId="741D55F8" wp14:editId="24781351">
                  <wp:extent cx="2035834" cy="363149"/>
                  <wp:effectExtent l="0" t="0" r="2540" b="0"/>
                  <wp:docPr id="17" name="Picture 79" descr="A black and white symbol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35816" name="Picture 79" descr="A black and white symbol  Description automatically generated with medium confidence"/>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137574" cy="381297"/>
                          </a:xfrm>
                          <a:prstGeom prst="rect">
                            <a:avLst/>
                          </a:prstGeom>
                          <a:noFill/>
                        </pic:spPr>
                      </pic:pic>
                    </a:graphicData>
                  </a:graphic>
                </wp:inline>
              </w:drawing>
            </w:r>
          </w:p>
          <w:p w14:paraId="7DBFC310" w14:textId="77777777" w:rsidR="00EA7143"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40AB3CCA" w14:textId="554B42A1" w:rsidR="00EA7143" w:rsidRPr="008070DB" w:rsidRDefault="008E1AF8" w:rsidP="003456B0">
            <w:pPr>
              <w:pStyle w:val="Default"/>
              <w:jc w:val="both"/>
              <w:rPr>
                <w:rFonts w:ascii="Times New Roman" w:eastAsiaTheme="minorHAnsi" w:hAnsi="Times New Roman" w:cs="Times New Roman"/>
                <w:sz w:val="18"/>
                <w:szCs w:val="18"/>
                <w:lang w:val="ro-MD"/>
                <w14:ligatures w14:val="standardContextual"/>
              </w:rPr>
            </w:pPr>
            <w:r w:rsidRPr="008070DB">
              <w:rPr>
                <w:noProof/>
                <w:sz w:val="18"/>
                <w:szCs w:val="18"/>
              </w:rPr>
              <w:drawing>
                <wp:inline distT="0" distB="0" distL="0" distR="0" wp14:anchorId="43480E07" wp14:editId="3E4EFFD4">
                  <wp:extent cx="759124" cy="243599"/>
                  <wp:effectExtent l="0" t="0" r="3175" b="4445"/>
                  <wp:docPr id="1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782812" cy="251200"/>
                          </a:xfrm>
                          <a:prstGeom prst="rect">
                            <a:avLst/>
                          </a:prstGeom>
                          <a:noFill/>
                        </pic:spPr>
                      </pic:pic>
                    </a:graphicData>
                  </a:graphic>
                </wp:inline>
              </w:drawing>
            </w:r>
            <w:r w:rsidR="00EA7143" w:rsidRPr="008070DB">
              <w:rPr>
                <w:rFonts w:ascii="Times New Roman" w:eastAsiaTheme="minorHAnsi" w:hAnsi="Times New Roman" w:cs="Times New Roman"/>
                <w:sz w:val="18"/>
                <w:szCs w:val="18"/>
                <w:lang w:val="ro-MD"/>
                <w14:ligatures w14:val="standardContextual"/>
              </w:rPr>
              <w:t xml:space="preserve"> = majorarea aferentă categoriei de risc de marfă pentru setul de acoperire a riscului „j”; și </w:t>
            </w:r>
          </w:p>
          <w:p w14:paraId="58EEC386" w14:textId="77777777" w:rsidR="001A4DE8" w:rsidRPr="008070DB" w:rsidRDefault="00EA7143"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  </w:t>
            </w:r>
            <w:r w:rsidR="008E1AF8" w:rsidRPr="008070DB">
              <w:rPr>
                <w:noProof/>
                <w:sz w:val="18"/>
                <w:szCs w:val="18"/>
              </w:rPr>
              <w:drawing>
                <wp:inline distT="0" distB="0" distL="0" distR="0" wp14:anchorId="5A43389A" wp14:editId="5FDF41F6">
                  <wp:extent cx="776377" cy="257175"/>
                  <wp:effectExtent l="0" t="0" r="5080" b="0"/>
                  <wp:docPr id="19" name="Picture 81" descr="A close up of a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13618" name="Picture 81" descr="A close up of a text  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84377" cy="259825"/>
                          </a:xfrm>
                          <a:prstGeom prst="rect">
                            <a:avLst/>
                          </a:prstGeom>
                          <a:noFill/>
                        </pic:spPr>
                      </pic:pic>
                    </a:graphicData>
                  </a:graphic>
                </wp:inline>
              </w:drawing>
            </w:r>
            <w:r w:rsidRPr="008070DB">
              <w:rPr>
                <w:rFonts w:ascii="Times New Roman" w:eastAsiaTheme="minorHAnsi" w:hAnsi="Times New Roman" w:cs="Times New Roman"/>
                <w:sz w:val="18"/>
                <w:szCs w:val="18"/>
                <w:lang w:val="ro-MD"/>
                <w14:ligatures w14:val="standardContextual"/>
              </w:rPr>
              <w:t>= majorarea aferentă tipului de marfă de referinţă „k”.</w:t>
            </w:r>
          </w:p>
          <w:p w14:paraId="6FC531E4"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014CDED"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BED5C70"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7D8FB0DE"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2235465"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BA8453D"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5A483F3"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099C9E6"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CD1D734"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043AD37E"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1FD7C6C"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DC63D17"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9B793AE"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70FB11D"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01856C5B"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23955C34"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70457B7"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2771BD2"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76488CED"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11BEFA6E"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3DC2D106"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393A1CB9"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38B337FB"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4504507"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7173EE90"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5319D615"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C8B10B4"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29F59E28"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2CDFEDC"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1FF14F9C"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7FA7C632"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15FA5F17"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1A6027A9" w14:textId="0C447289" w:rsidR="009634ED" w:rsidRPr="008070DB" w:rsidRDefault="009634ED" w:rsidP="003456B0">
            <w:pPr>
              <w:autoSpaceDE w:val="0"/>
              <w:autoSpaceDN w:val="0"/>
              <w:adjustRightInd w:val="0"/>
              <w:spacing w:before="60" w:after="60"/>
              <w:jc w:val="both"/>
              <w:rPr>
                <w:rFonts w:eastAsiaTheme="minorHAnsi"/>
                <w:sz w:val="18"/>
                <w:szCs w:val="18"/>
                <w:lang w:val="ro-MD"/>
                <w14:ligatures w14:val="standardContextual"/>
              </w:rPr>
            </w:pPr>
            <w:r w:rsidRPr="008070DB">
              <w:rPr>
                <w:rFonts w:eastAsiaTheme="minorHAnsi"/>
                <w:b/>
                <w:bCs/>
                <w:i/>
                <w:iCs/>
                <w:color w:val="000000"/>
                <w:sz w:val="18"/>
                <w:szCs w:val="18"/>
                <w:lang w:val="ro-RO" w:eastAsia="en-US"/>
                <w14:ligatures w14:val="standardContextual"/>
              </w:rPr>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75DE30BE" w14:textId="3FD52115" w:rsidR="001A4DE8" w:rsidRPr="00A96E09" w:rsidRDefault="00A96E09" w:rsidP="00C14AF6">
            <w:pPr>
              <w:jc w:val="both"/>
              <w:rPr>
                <w:sz w:val="18"/>
                <w:szCs w:val="18"/>
                <w:lang w:val="ro-MD"/>
              </w:rPr>
            </w:pPr>
            <w:r>
              <w:rPr>
                <w:sz w:val="18"/>
                <w:szCs w:val="18"/>
                <w:lang w:val="ro-MD"/>
              </w:rPr>
              <w:lastRenderedPageBreak/>
              <w:t>C</w:t>
            </w:r>
            <w:r w:rsidR="001A4DE8" w:rsidRPr="00A96E09">
              <w:rPr>
                <w:sz w:val="18"/>
                <w:szCs w:val="18"/>
                <w:lang w:val="ro-MD"/>
              </w:rPr>
              <w:t>ompatibil</w:t>
            </w:r>
          </w:p>
        </w:tc>
        <w:tc>
          <w:tcPr>
            <w:tcW w:w="4683" w:type="dxa"/>
            <w:tcBorders>
              <w:top w:val="single" w:sz="4" w:space="0" w:color="auto"/>
              <w:bottom w:val="single" w:sz="4" w:space="0" w:color="auto"/>
            </w:tcBorders>
          </w:tcPr>
          <w:p w14:paraId="065C23AF" w14:textId="6E62FFB0" w:rsidR="001A4DE8" w:rsidRPr="00A96E09" w:rsidRDefault="001A4DE8" w:rsidP="00C14AF6">
            <w:pPr>
              <w:rPr>
                <w:sz w:val="18"/>
                <w:szCs w:val="18"/>
                <w:lang w:val="ro-MD"/>
              </w:rPr>
            </w:pPr>
          </w:p>
        </w:tc>
      </w:tr>
      <w:tr w:rsidR="001A4DE8" w:rsidRPr="00A96E09" w14:paraId="104E94DD" w14:textId="77777777" w:rsidTr="00C14AF6">
        <w:trPr>
          <w:trHeight w:val="918"/>
        </w:trPr>
        <w:tc>
          <w:tcPr>
            <w:tcW w:w="3866" w:type="dxa"/>
          </w:tcPr>
          <w:p w14:paraId="36E442C9" w14:textId="2FDFBAFF"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Secțiunea 5</w:t>
            </w:r>
          </w:p>
          <w:p w14:paraId="026922EA" w14:textId="4F72B3DA" w:rsidR="001A4DE8" w:rsidRPr="00A96E09" w:rsidRDefault="001A4DE8" w:rsidP="003456B0">
            <w:pPr>
              <w:pStyle w:val="CM4"/>
              <w:spacing w:before="60" w:after="60"/>
              <w:jc w:val="both"/>
              <w:rPr>
                <w:rFonts w:ascii="Times New Roman" w:hAnsi="Times New Roman"/>
                <w:i/>
                <w:iCs/>
                <w:color w:val="000000"/>
                <w:sz w:val="18"/>
                <w:szCs w:val="18"/>
              </w:rPr>
            </w:pPr>
            <w:r w:rsidRPr="00A96E09">
              <w:rPr>
                <w:rFonts w:ascii="Times New Roman" w:hAnsi="Times New Roman"/>
                <w:b/>
                <w:bCs/>
                <w:sz w:val="18"/>
                <w:szCs w:val="18"/>
              </w:rPr>
              <w:t>Metoda expunerii inițiale</w:t>
            </w:r>
            <w:r w:rsidRPr="00A96E09">
              <w:rPr>
                <w:rFonts w:ascii="Times New Roman" w:hAnsi="Times New Roman"/>
                <w:i/>
                <w:iCs/>
                <w:color w:val="000000"/>
                <w:sz w:val="18"/>
                <w:szCs w:val="18"/>
              </w:rPr>
              <w:t xml:space="preserve"> </w:t>
            </w:r>
          </w:p>
          <w:p w14:paraId="42665F82" w14:textId="74AD5A51"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i/>
                <w:iCs/>
                <w:color w:val="000000"/>
                <w:sz w:val="18"/>
                <w:szCs w:val="18"/>
              </w:rPr>
              <w:t xml:space="preserve">Articolul 282 </w:t>
            </w:r>
            <w:r w:rsidRPr="00A96E09">
              <w:rPr>
                <w:rFonts w:ascii="Times New Roman" w:hAnsi="Times New Roman"/>
                <w:b/>
                <w:bCs/>
                <w:color w:val="000000"/>
                <w:sz w:val="18"/>
                <w:szCs w:val="18"/>
              </w:rPr>
              <w:t>Calculul valorii expunerii</w:t>
            </w:r>
          </w:p>
          <w:p w14:paraId="6C6AD4FE" w14:textId="4D1F25D2"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(1) Instituţiile pot calcula o singură valoare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expunerii pentru toate tranzacţiile care fac obiectul unui acord de compensare contractuală în cazul în care sunt îndeplinite toate condiţiile prevăzute la articolul 274 alineatul (1). În caz contrar, instituţiile calculează separat câte o valoare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expunerii pentru fiecare tranzacţie, care este tratată ca fiind propriul set de compensare. </w:t>
            </w:r>
          </w:p>
          <w:p w14:paraId="5979FB26"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(2) Valoarea expunerii unui set de compensare sau a unei tranzacţii este suma dintre costul de înlocuire curent și expunerea viitoare potenţială, înmulţită cu 1,4. </w:t>
            </w:r>
          </w:p>
          <w:p w14:paraId="37A4C9C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(3) Costul de înlocuire curent menţionat la alineatul (2) se calculează după cum urmează: </w:t>
            </w:r>
          </w:p>
          <w:p w14:paraId="47DDC37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(a) în cazul seturilor de compensare formate din tranzacţii care sunt tranzacţionate pe o bursă recunoscută sau care sunt compensate la nivel central de către o contraparte centrală autorizată în conformitate cu articolul 14 din Regulamentul (UE) nr. 648/2012 ori recunoscută în conformitate cu articolul 25 din regulamentul respectiv sau pentru care au loc schimburi bilaterale de garanţii reale cu contrapartea în conformitate cu articolul 11 din Regulamentul (UE) nr. 648/2012, instituţiile utilizează următoarea formulă: </w:t>
            </w:r>
          </w:p>
          <w:p w14:paraId="21A1775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TH + MTA </w:t>
            </w:r>
          </w:p>
          <w:p w14:paraId="4A6C11C8"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2EF302F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costul de </w:t>
            </w:r>
            <w:proofErr w:type="gramStart"/>
            <w:r w:rsidRPr="00A96E09">
              <w:rPr>
                <w:rFonts w:ascii="Times New Roman" w:hAnsi="Times New Roman"/>
                <w:color w:val="000000"/>
                <w:sz w:val="18"/>
                <w:szCs w:val="18"/>
              </w:rPr>
              <w:t>înlocuire;</w:t>
            </w:r>
            <w:proofErr w:type="gramEnd"/>
            <w:r w:rsidRPr="00A96E09">
              <w:rPr>
                <w:rFonts w:ascii="Times New Roman" w:hAnsi="Times New Roman"/>
                <w:color w:val="000000"/>
                <w:sz w:val="18"/>
                <w:szCs w:val="18"/>
              </w:rPr>
              <w:t xml:space="preserve"> </w:t>
            </w:r>
          </w:p>
          <w:p w14:paraId="3BC4B6D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TH = pragul de marjă aplicabil setului de compensare conform contractului în marjă sub care instituţia nu poate solicita garanţii reale; și </w:t>
            </w:r>
          </w:p>
          <w:p w14:paraId="04A7F19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MTA = suma minimă de transfer aplicabilă setului de compensare conform contractului în </w:t>
            </w:r>
            <w:proofErr w:type="gramStart"/>
            <w:r w:rsidRPr="00A96E09">
              <w:rPr>
                <w:rFonts w:ascii="Times New Roman" w:hAnsi="Times New Roman"/>
                <w:color w:val="000000"/>
                <w:sz w:val="18"/>
                <w:szCs w:val="18"/>
              </w:rPr>
              <w:t>marjă;</w:t>
            </w:r>
            <w:proofErr w:type="gramEnd"/>
            <w:r w:rsidRPr="00A96E09">
              <w:rPr>
                <w:rFonts w:ascii="Times New Roman" w:hAnsi="Times New Roman"/>
                <w:color w:val="000000"/>
                <w:sz w:val="18"/>
                <w:szCs w:val="18"/>
              </w:rPr>
              <w:t xml:space="preserve"> </w:t>
            </w:r>
          </w:p>
          <w:p w14:paraId="39EADA6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(b) în cazul tuturor celorlalte seturi de compensare sau tranzacţii individuale, instituţiile utilizează următoarea formulă: </w:t>
            </w:r>
          </w:p>
          <w:p w14:paraId="01C9B15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w:t>
            </w:r>
            <w:proofErr w:type="gramStart"/>
            <w:r w:rsidRPr="00A96E09">
              <w:rPr>
                <w:rFonts w:ascii="Times New Roman" w:hAnsi="Times New Roman"/>
                <w:color w:val="000000"/>
                <w:sz w:val="18"/>
                <w:szCs w:val="18"/>
              </w:rPr>
              <w:t>max{</w:t>
            </w:r>
            <w:proofErr w:type="gramEnd"/>
            <w:r w:rsidRPr="00A96E09">
              <w:rPr>
                <w:rFonts w:ascii="Times New Roman" w:hAnsi="Times New Roman"/>
                <w:color w:val="000000"/>
                <w:sz w:val="18"/>
                <w:szCs w:val="18"/>
              </w:rPr>
              <w:t xml:space="preserve">CMV, 0} </w:t>
            </w:r>
          </w:p>
          <w:p w14:paraId="31A5C74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3FDAB2C1"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RC = costul de înlocuire; și </w:t>
            </w:r>
          </w:p>
          <w:p w14:paraId="44087D4A"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CMV = valoarea de piaţă curentă. </w:t>
            </w:r>
          </w:p>
          <w:p w14:paraId="14BB5E4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Pentru a calcula costul de înlocuire curent, instituţiile actualizează valoarea de piaţă curentă cel puţin lunar. </w:t>
            </w:r>
          </w:p>
          <w:p w14:paraId="731D37FD"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(4) Instituţiile calculează expunerea viitoare potenţială menţionată la alineatul (2) după cum urmează: </w:t>
            </w:r>
          </w:p>
          <w:p w14:paraId="42F9CF7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(a) expunerea viitoare potenţială a unui set de compensare este suma expunerilor viitoare potenţiale ale tuturor tranzacţiilor incluse în setul de compensare, calculate în conformitate cu litera (b</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0498A0BC"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lastRenderedPageBreak/>
              <w:t xml:space="preserve">(b) expunerea viitoare potenţială a unei singure tranzacţii este valoarea noţională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acesteia înmulţită cu: </w:t>
            </w:r>
          </w:p>
          <w:p w14:paraId="6E5B0EFB"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scadenţa reziduală a tranzacţiei exprimată în ani pentru contractele derivate pe rata dobânzii, înmulţită cu 0,5 </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365AA659"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 scadenţa reziduală a tranzacţiei exprimată în ani pentru contractele derivate de credit, înmulţită cu </w:t>
            </w:r>
            <w:proofErr w:type="gramStart"/>
            <w:r w:rsidRPr="00A96E09">
              <w:rPr>
                <w:rFonts w:ascii="Times New Roman" w:hAnsi="Times New Roman"/>
                <w:color w:val="000000"/>
                <w:sz w:val="18"/>
                <w:szCs w:val="18"/>
              </w:rPr>
              <w:t>6 %;</w:t>
            </w:r>
            <w:proofErr w:type="gramEnd"/>
            <w:r w:rsidRPr="00A96E09">
              <w:rPr>
                <w:rFonts w:ascii="Times New Roman" w:hAnsi="Times New Roman"/>
                <w:color w:val="000000"/>
                <w:sz w:val="18"/>
                <w:szCs w:val="18"/>
              </w:rPr>
              <w:t xml:space="preserve"> </w:t>
            </w:r>
          </w:p>
          <w:p w14:paraId="4EAC8537"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(iii) 4 % pentru instrumentele financiare derivate pe cursul de schimb </w:t>
            </w:r>
            <w:proofErr w:type="gramStart"/>
            <w:r w:rsidRPr="00A96E09">
              <w:rPr>
                <w:rFonts w:ascii="Times New Roman" w:hAnsi="Times New Roman"/>
                <w:color w:val="000000"/>
                <w:sz w:val="18"/>
                <w:szCs w:val="18"/>
              </w:rPr>
              <w:t>valutar;</w:t>
            </w:r>
            <w:proofErr w:type="gramEnd"/>
            <w:r w:rsidRPr="00A96E09">
              <w:rPr>
                <w:rFonts w:ascii="Times New Roman" w:hAnsi="Times New Roman"/>
                <w:color w:val="000000"/>
                <w:sz w:val="18"/>
                <w:szCs w:val="18"/>
              </w:rPr>
              <w:t xml:space="preserve"> </w:t>
            </w:r>
          </w:p>
          <w:p w14:paraId="4B7F6380"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(iv) 18 % pentru instrumentele financiare derivate pe aur și mărfuri, altele decât instrumentele financiare derivate pe energie </w:t>
            </w:r>
            <w:proofErr w:type="gramStart"/>
            <w:r w:rsidRPr="00A96E09">
              <w:rPr>
                <w:rFonts w:ascii="Times New Roman" w:hAnsi="Times New Roman"/>
                <w:color w:val="000000"/>
                <w:sz w:val="18"/>
                <w:szCs w:val="18"/>
              </w:rPr>
              <w:t>electrică;</w:t>
            </w:r>
            <w:proofErr w:type="gramEnd"/>
            <w:r w:rsidRPr="00A96E09">
              <w:rPr>
                <w:rFonts w:ascii="Times New Roman" w:hAnsi="Times New Roman"/>
                <w:color w:val="000000"/>
                <w:sz w:val="18"/>
                <w:szCs w:val="18"/>
              </w:rPr>
              <w:t xml:space="preserve"> </w:t>
            </w:r>
          </w:p>
          <w:p w14:paraId="7118FB24"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(v) 40 % pentru instrumentele financiare </w:t>
            </w:r>
            <w:proofErr w:type="gramStart"/>
            <w:r w:rsidRPr="00A96E09">
              <w:rPr>
                <w:rFonts w:ascii="Times New Roman" w:hAnsi="Times New Roman"/>
                <w:color w:val="000000"/>
                <w:sz w:val="18"/>
                <w:szCs w:val="18"/>
              </w:rPr>
              <w:t>derivate</w:t>
            </w:r>
            <w:proofErr w:type="gramEnd"/>
            <w:r w:rsidRPr="00A96E09">
              <w:rPr>
                <w:rFonts w:ascii="Times New Roman" w:hAnsi="Times New Roman"/>
                <w:color w:val="000000"/>
                <w:sz w:val="18"/>
                <w:szCs w:val="18"/>
              </w:rPr>
              <w:t xml:space="preserve"> pe energie </w:t>
            </w:r>
            <w:proofErr w:type="gramStart"/>
            <w:r w:rsidRPr="00A96E09">
              <w:rPr>
                <w:rFonts w:ascii="Times New Roman" w:hAnsi="Times New Roman"/>
                <w:color w:val="000000"/>
                <w:sz w:val="18"/>
                <w:szCs w:val="18"/>
              </w:rPr>
              <w:t>electrică;</w:t>
            </w:r>
            <w:proofErr w:type="gramEnd"/>
            <w:r w:rsidRPr="00A96E09">
              <w:rPr>
                <w:rFonts w:ascii="Times New Roman" w:hAnsi="Times New Roman"/>
                <w:color w:val="000000"/>
                <w:sz w:val="18"/>
                <w:szCs w:val="18"/>
              </w:rPr>
              <w:t xml:space="preserve"> </w:t>
            </w:r>
          </w:p>
          <w:p w14:paraId="66678584" w14:textId="2D77E082"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(vi) 32 % pentru instrumentele financiare derivate pe titluri de </w:t>
            </w:r>
            <w:proofErr w:type="gramStart"/>
            <w:r w:rsidRPr="00A96E09">
              <w:rPr>
                <w:rFonts w:ascii="Times New Roman" w:hAnsi="Times New Roman"/>
                <w:color w:val="000000"/>
                <w:sz w:val="18"/>
                <w:szCs w:val="18"/>
              </w:rPr>
              <w:t>capital;</w:t>
            </w:r>
            <w:proofErr w:type="gramEnd"/>
            <w:r w:rsidRPr="00A96E09">
              <w:rPr>
                <w:rFonts w:ascii="Times New Roman" w:hAnsi="Times New Roman"/>
                <w:color w:val="000000"/>
                <w:sz w:val="18"/>
                <w:szCs w:val="18"/>
              </w:rPr>
              <w:t xml:space="preserve"> </w:t>
            </w:r>
          </w:p>
          <w:p w14:paraId="2C7A1975"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(c) valoarea noţională menţionată la litera (b) de la prezentul alineat se determină în conformitate cu articolul 279b alineatele (2) și (3) pentru toate instrumentele financiare derivate enumerate la litera respectivă; în plus, valoarea noţională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instrumentelor financiare derivate menţionate la prezentul alineat litera (b) punctele (iii)-(vi) se determină în conformitate cu articolul 279b alineatul (1) literele (b) și (c</w:t>
            </w:r>
            <w:proofErr w:type="gramStart"/>
            <w:r w:rsidRPr="00A96E09">
              <w:rPr>
                <w:rFonts w:ascii="Times New Roman" w:hAnsi="Times New Roman"/>
                <w:color w:val="000000"/>
                <w:sz w:val="18"/>
                <w:szCs w:val="18"/>
              </w:rPr>
              <w:t>);</w:t>
            </w:r>
            <w:proofErr w:type="gramEnd"/>
            <w:r w:rsidRPr="00A96E09">
              <w:rPr>
                <w:rFonts w:ascii="Times New Roman" w:hAnsi="Times New Roman"/>
                <w:color w:val="000000"/>
                <w:sz w:val="18"/>
                <w:szCs w:val="18"/>
              </w:rPr>
              <w:t xml:space="preserve"> </w:t>
            </w:r>
          </w:p>
          <w:p w14:paraId="632F64AF" w14:textId="77777777" w:rsidR="001A4DE8" w:rsidRPr="00A96E09" w:rsidRDefault="001A4DE8" w:rsidP="003456B0">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(d) expunerea viitoare potenţială a seturilor de compensare menţionate la alineatul (3) litera (a) se înmulţește cu 0,42. </w:t>
            </w:r>
          </w:p>
          <w:p w14:paraId="46433229" w14:textId="0DF6DB7E" w:rsidR="001A4DE8" w:rsidRPr="00A665E3" w:rsidRDefault="001A4DE8" w:rsidP="003456B0">
            <w:pPr>
              <w:pStyle w:val="title-article-norm"/>
              <w:jc w:val="both"/>
              <w:rPr>
                <w:i w:val="0"/>
                <w:iCs w:val="0"/>
                <w:sz w:val="18"/>
                <w:szCs w:val="18"/>
                <w:lang w:val="ro-MD"/>
              </w:rPr>
            </w:pPr>
            <w:r w:rsidRPr="00A96E09">
              <w:rPr>
                <w:i w:val="0"/>
                <w:iCs w:val="0"/>
                <w:color w:val="000000"/>
                <w:sz w:val="18"/>
                <w:szCs w:val="18"/>
              </w:rPr>
              <w:t xml:space="preserve">Pentru a calcula expunerea potenţială </w:t>
            </w:r>
            <w:proofErr w:type="gramStart"/>
            <w:r w:rsidRPr="00A96E09">
              <w:rPr>
                <w:i w:val="0"/>
                <w:iCs w:val="0"/>
                <w:color w:val="000000"/>
                <w:sz w:val="18"/>
                <w:szCs w:val="18"/>
              </w:rPr>
              <w:t>a</w:t>
            </w:r>
            <w:proofErr w:type="gramEnd"/>
            <w:r w:rsidRPr="00A96E09">
              <w:rPr>
                <w:i w:val="0"/>
                <w:iCs w:val="0"/>
                <w:color w:val="000000"/>
                <w:sz w:val="18"/>
                <w:szCs w:val="18"/>
              </w:rPr>
              <w:t xml:space="preserve"> instrumentelor financiare derivate pe rata dobânzii și </w:t>
            </w:r>
            <w:proofErr w:type="gramStart"/>
            <w:r w:rsidRPr="00A96E09">
              <w:rPr>
                <w:i w:val="0"/>
                <w:iCs w:val="0"/>
                <w:color w:val="000000"/>
                <w:sz w:val="18"/>
                <w:szCs w:val="18"/>
              </w:rPr>
              <w:t>a</w:t>
            </w:r>
            <w:proofErr w:type="gramEnd"/>
            <w:r w:rsidRPr="00A96E09">
              <w:rPr>
                <w:i w:val="0"/>
                <w:iCs w:val="0"/>
                <w:color w:val="000000"/>
                <w:sz w:val="18"/>
                <w:szCs w:val="18"/>
              </w:rPr>
              <w:t xml:space="preserve"> instrumentelor financiare derivate de credit în conformitate cu litera (b) punctele (i) și (ii), o instituţie poate alege să utilizeze scadenţa iniţială în loc de scadenţa reziduală a contractelor.</w:t>
            </w:r>
          </w:p>
        </w:tc>
        <w:tc>
          <w:tcPr>
            <w:tcW w:w="4356" w:type="dxa"/>
          </w:tcPr>
          <w:p w14:paraId="23A54DD5" w14:textId="77777777" w:rsidR="001A4DE8" w:rsidRPr="008070DB" w:rsidRDefault="001A4DE8" w:rsidP="003456B0">
            <w:pPr>
              <w:ind w:firstLine="567"/>
              <w:jc w:val="both"/>
              <w:rPr>
                <w:b/>
                <w:bCs/>
                <w:sz w:val="18"/>
                <w:szCs w:val="18"/>
                <w:lang w:val="ro-MD"/>
              </w:rPr>
            </w:pPr>
            <w:r w:rsidRPr="008070DB">
              <w:rPr>
                <w:b/>
                <w:bCs/>
                <w:sz w:val="18"/>
                <w:szCs w:val="18"/>
                <w:lang w:val="ro-MD"/>
              </w:rPr>
              <w:lastRenderedPageBreak/>
              <w:t>Capitolul V</w:t>
            </w:r>
          </w:p>
          <w:p w14:paraId="499ECEB5" w14:textId="75C7445A" w:rsidR="001A4DE8" w:rsidRPr="008070DB" w:rsidRDefault="001A4DE8" w:rsidP="003456B0">
            <w:pPr>
              <w:pStyle w:val="Default"/>
              <w:ind w:left="720"/>
              <w:jc w:val="both"/>
              <w:rPr>
                <w:rFonts w:ascii="Times New Roman" w:hAnsi="Times New Roman" w:cs="Times New Roman"/>
                <w:b/>
                <w:bCs/>
                <w:sz w:val="18"/>
                <w:szCs w:val="18"/>
              </w:rPr>
            </w:pPr>
            <w:r w:rsidRPr="008070DB">
              <w:rPr>
                <w:rFonts w:ascii="Times New Roman" w:hAnsi="Times New Roman" w:cs="Times New Roman"/>
                <w:b/>
                <w:bCs/>
                <w:sz w:val="18"/>
                <w:szCs w:val="18"/>
              </w:rPr>
              <w:t xml:space="preserve">Metoda </w:t>
            </w:r>
            <w:r w:rsidR="00573DBE" w:rsidRPr="008070DB">
              <w:rPr>
                <w:rFonts w:ascii="Times New Roman" w:hAnsi="Times New Roman" w:cs="Times New Roman"/>
                <w:b/>
                <w:bCs/>
                <w:sz w:val="18"/>
                <w:szCs w:val="18"/>
              </w:rPr>
              <w:t>e</w:t>
            </w:r>
            <w:r w:rsidRPr="008070DB">
              <w:rPr>
                <w:rFonts w:ascii="Times New Roman" w:hAnsi="Times New Roman" w:cs="Times New Roman"/>
                <w:b/>
                <w:bCs/>
                <w:sz w:val="18"/>
                <w:szCs w:val="18"/>
              </w:rPr>
              <w:t>xpunerii inițiale</w:t>
            </w:r>
          </w:p>
          <w:p w14:paraId="17A7AAAA" w14:textId="51D5F00B" w:rsidR="001A4DE8" w:rsidRPr="008070DB" w:rsidRDefault="001A4DE8" w:rsidP="003456B0">
            <w:pPr>
              <w:pStyle w:val="Default"/>
              <w:ind w:firstLine="567"/>
              <w:jc w:val="both"/>
              <w:rPr>
                <w:rFonts w:ascii="Times New Roman" w:hAnsi="Times New Roman" w:cs="Times New Roman"/>
                <w:b/>
                <w:bCs/>
                <w:sz w:val="18"/>
                <w:szCs w:val="18"/>
              </w:rPr>
            </w:pPr>
          </w:p>
          <w:p w14:paraId="5477CB95" w14:textId="030FECB1" w:rsidR="0003092F" w:rsidRPr="008070DB" w:rsidRDefault="006D77F3" w:rsidP="003456B0">
            <w:pPr>
              <w:pStyle w:val="Default"/>
              <w:tabs>
                <w:tab w:val="left" w:pos="414"/>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b/>
                <w:bCs/>
                <w:sz w:val="18"/>
                <w:szCs w:val="18"/>
                <w:lang w:val="ro-MD"/>
                <w14:ligatures w14:val="standardContextual"/>
              </w:rPr>
              <w:t>10</w:t>
            </w:r>
            <w:r w:rsidR="00757834" w:rsidRPr="008070DB">
              <w:rPr>
                <w:rFonts w:ascii="Times New Roman" w:eastAsiaTheme="minorHAnsi" w:hAnsi="Times New Roman" w:cs="Times New Roman"/>
                <w:b/>
                <w:bCs/>
                <w:sz w:val="18"/>
                <w:szCs w:val="18"/>
                <w:lang w:val="ro-MD"/>
                <w14:ligatures w14:val="standardContextual"/>
              </w:rPr>
              <w:t>1.</w:t>
            </w:r>
            <w:r w:rsidR="00757834" w:rsidRPr="008070DB">
              <w:rPr>
                <w:rFonts w:ascii="Times New Roman" w:eastAsiaTheme="minorHAnsi" w:hAnsi="Times New Roman" w:cs="Times New Roman"/>
                <w:sz w:val="18"/>
                <w:szCs w:val="18"/>
                <w:lang w:val="ro-MD"/>
                <w14:ligatures w14:val="standardContextual"/>
              </w:rPr>
              <w:t xml:space="preserve"> </w:t>
            </w:r>
            <w:r w:rsidR="0003092F" w:rsidRPr="008070DB">
              <w:rPr>
                <w:rFonts w:ascii="Times New Roman" w:eastAsiaTheme="minorHAnsi" w:hAnsi="Times New Roman" w:cs="Times New Roman"/>
                <w:sz w:val="18"/>
                <w:szCs w:val="18"/>
                <w:lang w:val="ro-MD"/>
                <w14:ligatures w14:val="standardContextual"/>
              </w:rPr>
              <w:t xml:space="preserve">Băncile pot calcula o singură valoare a expunerii pentru toate tranzacţiile care fac obiectul unui acord de compensare contractuală în cazul în care sunt îndeplinite toate condiţiile prevăzute la punctele 39 și 40. În caz contrar, băncile calculează separat câte o valoare a expunerii pentru fiecare tranzacţie, care este tratată ca fiind propriul set de compensare. </w:t>
            </w:r>
          </w:p>
          <w:p w14:paraId="12C9EADF" w14:textId="1A5CBCCE" w:rsidR="0003092F" w:rsidRPr="008070DB" w:rsidRDefault="00757834" w:rsidP="003456B0">
            <w:pPr>
              <w:pStyle w:val="Default"/>
              <w:tabs>
                <w:tab w:val="left" w:pos="414"/>
              </w:tabs>
              <w:jc w:val="both"/>
              <w:rPr>
                <w:rFonts w:ascii="Times New Roman" w:eastAsiaTheme="minorHAnsi" w:hAnsi="Times New Roman" w:cs="Times New Roman"/>
                <w:sz w:val="18"/>
                <w:szCs w:val="18"/>
                <w:lang w:val="ro-MD"/>
                <w14:ligatures w14:val="standardContextual"/>
              </w:rPr>
            </w:pPr>
            <w:bookmarkStart w:id="18" w:name="_Ref168997779"/>
            <w:r w:rsidRPr="008070DB">
              <w:rPr>
                <w:rFonts w:ascii="Times New Roman" w:eastAsiaTheme="minorHAnsi" w:hAnsi="Times New Roman" w:cs="Times New Roman"/>
                <w:b/>
                <w:bCs/>
                <w:sz w:val="18"/>
                <w:szCs w:val="18"/>
                <w:lang w:val="ro-MD"/>
                <w14:ligatures w14:val="standardContextual"/>
              </w:rPr>
              <w:t>102.</w:t>
            </w:r>
            <w:r w:rsidR="0003092F" w:rsidRPr="008070DB">
              <w:rPr>
                <w:rFonts w:ascii="Times New Roman" w:eastAsiaTheme="minorHAnsi" w:hAnsi="Times New Roman" w:cs="Times New Roman"/>
                <w:sz w:val="18"/>
                <w:szCs w:val="18"/>
                <w:lang w:val="ro-MD"/>
                <w14:ligatures w14:val="standardContextual"/>
              </w:rPr>
              <w:t xml:space="preserve"> Valoarea expunerii unui set de compensare sau a unei tranzacţii este suma dintre costul de înlocuire curent și expunerea viitoare potenţială, înmulţită cu 1,4.</w:t>
            </w:r>
            <w:bookmarkEnd w:id="18"/>
            <w:r w:rsidR="0003092F" w:rsidRPr="008070DB">
              <w:rPr>
                <w:rFonts w:ascii="Times New Roman" w:eastAsiaTheme="minorHAnsi" w:hAnsi="Times New Roman" w:cs="Times New Roman"/>
                <w:sz w:val="18"/>
                <w:szCs w:val="18"/>
                <w:lang w:val="ro-MD"/>
                <w14:ligatures w14:val="standardContextual"/>
              </w:rPr>
              <w:t xml:space="preserve"> </w:t>
            </w:r>
          </w:p>
          <w:p w14:paraId="67443B62"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b/>
                <w:bCs/>
                <w:sz w:val="18"/>
                <w:szCs w:val="18"/>
                <w:lang w:val="ro-MD"/>
                <w14:ligatures w14:val="standardContextual"/>
              </w:rPr>
              <w:t>103.</w:t>
            </w:r>
            <w:r w:rsidRPr="008070DB">
              <w:rPr>
                <w:rFonts w:ascii="Times New Roman" w:eastAsiaTheme="minorHAnsi" w:hAnsi="Times New Roman" w:cs="Times New Roman"/>
                <w:sz w:val="18"/>
                <w:szCs w:val="18"/>
                <w:lang w:val="ro-MD"/>
                <w14:ligatures w14:val="standardContextual"/>
              </w:rPr>
              <w:t xml:space="preserve"> Costul de înlocuire curent menţionat la punctul 102 se calculează după cum urmează:</w:t>
            </w:r>
          </w:p>
          <w:p w14:paraId="3FA71EA8"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103.1. în cazul seturilor de compensare formate din tranzacţii care sunt tranzacţionate pe o bursă recunoscută sau care sunt compensate la nivel central de către o contraparte centrală autorizată în conformitate cu Directivele Uniunii Europeane ori recunoscută </w:t>
            </w:r>
            <w:r w:rsidRPr="008070DB">
              <w:rPr>
                <w:rFonts w:ascii="Times New Roman" w:eastAsiaTheme="minorHAnsi" w:hAnsi="Times New Roman" w:cs="Times New Roman"/>
                <w:sz w:val="18"/>
                <w:szCs w:val="18"/>
                <w14:ligatures w14:val="standardContextual"/>
              </w:rPr>
              <w:t xml:space="preserve">într-o țară </w:t>
            </w:r>
            <w:r w:rsidRPr="008070DB">
              <w:rPr>
                <w:rFonts w:ascii="Times New Roman" w:eastAsiaTheme="minorHAnsi" w:hAnsi="Times New Roman" w:cs="Times New Roman"/>
                <w:sz w:val="18"/>
                <w:szCs w:val="18"/>
                <w14:ligatures w14:val="standardContextual"/>
              </w:rPr>
              <w:lastRenderedPageBreak/>
              <w:t>terță</w:t>
            </w:r>
            <w:r w:rsidRPr="008070DB">
              <w:rPr>
                <w:rFonts w:ascii="Times New Roman" w:eastAsiaTheme="minorHAnsi" w:hAnsi="Times New Roman" w:cs="Times New Roman"/>
                <w:sz w:val="18"/>
                <w:szCs w:val="18"/>
                <w:lang w:val="ro-MD"/>
                <w14:ligatures w14:val="standardContextual"/>
              </w:rPr>
              <w:t xml:space="preserve"> sau pentru care au loc schimburi bilaterale de garanţii reale cu contrapartea, băncile utilizează următoarea formulă:</w:t>
            </w:r>
          </w:p>
          <w:p w14:paraId="094FD6C5"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RC = TH + MTA</w:t>
            </w:r>
          </w:p>
          <w:p w14:paraId="56EEFED5"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unde:</w:t>
            </w:r>
          </w:p>
          <w:p w14:paraId="29B32538"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RC = costul de înlocuire;</w:t>
            </w:r>
          </w:p>
          <w:p w14:paraId="58A7A823"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TH = pragul de marjă aplicabil setului de compensare conform contractului în marjă sub care banca nu poate solicita garanţii reale; și</w:t>
            </w:r>
          </w:p>
          <w:p w14:paraId="32EA3BE7"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MTA = suma minimă de transfer aplicabilă setului de compensare conform contractului în marjă;</w:t>
            </w:r>
          </w:p>
          <w:p w14:paraId="5F08EA0D" w14:textId="7BA0B8A3"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103.2. în cazul tuturor celorlalte seturi de compensare sau tranzacții individuale, </w:t>
            </w:r>
            <w:r w:rsidR="00344EF4" w:rsidRPr="008070DB">
              <w:rPr>
                <w:rFonts w:ascii="Times New Roman" w:eastAsiaTheme="minorHAnsi" w:hAnsi="Times New Roman" w:cs="Times New Roman"/>
                <w:sz w:val="18"/>
                <w:szCs w:val="18"/>
                <w:lang w:val="ro-MD"/>
                <w14:ligatures w14:val="standardContextual"/>
              </w:rPr>
              <w:t>băncile</w:t>
            </w:r>
            <w:r w:rsidRPr="008070DB">
              <w:rPr>
                <w:rFonts w:ascii="Times New Roman" w:eastAsiaTheme="minorHAnsi" w:hAnsi="Times New Roman" w:cs="Times New Roman"/>
                <w:sz w:val="18"/>
                <w:szCs w:val="18"/>
                <w:lang w:val="ro-MD"/>
                <w14:ligatures w14:val="standardContextual"/>
              </w:rPr>
              <w:t xml:space="preserve"> utilizează următoarea formulă:</w:t>
            </w:r>
          </w:p>
          <w:p w14:paraId="7407EC75"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RC = max{CMV, 0}</w:t>
            </w:r>
          </w:p>
          <w:p w14:paraId="6F072861"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unde: </w:t>
            </w:r>
          </w:p>
          <w:p w14:paraId="00A51664"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RC = costul de înlocuire; și </w:t>
            </w:r>
          </w:p>
          <w:p w14:paraId="5858A543"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CMV = valoarea de piaţă curentă. </w:t>
            </w:r>
          </w:p>
          <w:p w14:paraId="5BC8D840"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Pentru a calcula costul de înlocuire curent, băncile actualizează valoarea de piaţă curentă cel puţin lunar. </w:t>
            </w:r>
          </w:p>
          <w:p w14:paraId="431CFD8B"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b/>
                <w:bCs/>
                <w:sz w:val="18"/>
                <w:szCs w:val="18"/>
                <w:lang w:val="ro-MD"/>
                <w14:ligatures w14:val="standardContextual"/>
              </w:rPr>
              <w:t>104.</w:t>
            </w:r>
            <w:r w:rsidRPr="008070DB">
              <w:rPr>
                <w:rFonts w:ascii="Times New Roman" w:eastAsiaTheme="minorHAnsi" w:hAnsi="Times New Roman" w:cs="Times New Roman"/>
                <w:sz w:val="18"/>
                <w:szCs w:val="18"/>
                <w:lang w:val="ro-MD"/>
                <w14:ligatures w14:val="standardContextual"/>
              </w:rPr>
              <w:t xml:space="preserve"> Băncile calculează expunerea viitoare potenţială menţionată la punctul 102 după cum urmează: </w:t>
            </w:r>
          </w:p>
          <w:p w14:paraId="4A37A5B9"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104.1. expunerea viitoare potenţială a unui set de compensare este suma expunerilor viitoare potenţiale ale tuturor tranzacţiilor incluse în setul de compensare, calculate în conformitate cu subpunctul 104.2.;</w:t>
            </w:r>
          </w:p>
          <w:p w14:paraId="53DD7715"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bookmarkStart w:id="19" w:name="_Ref168998360"/>
            <w:r w:rsidRPr="008070DB">
              <w:rPr>
                <w:rFonts w:ascii="Times New Roman" w:eastAsiaTheme="minorHAnsi" w:hAnsi="Times New Roman" w:cs="Times New Roman"/>
                <w:sz w:val="18"/>
                <w:szCs w:val="18"/>
                <w:lang w:val="ro-MD"/>
                <w14:ligatures w14:val="standardContextual"/>
              </w:rPr>
              <w:t>104.2. expunerea viitoare potenţială a unei singure tranzacţii este valoarea noţională a acesteia înmulţită cu:</w:t>
            </w:r>
            <w:bookmarkEnd w:id="19"/>
            <w:r w:rsidRPr="008070DB">
              <w:rPr>
                <w:rFonts w:ascii="Times New Roman" w:eastAsiaTheme="minorHAnsi" w:hAnsi="Times New Roman" w:cs="Times New Roman"/>
                <w:sz w:val="18"/>
                <w:szCs w:val="18"/>
                <w:lang w:val="ro-MD"/>
                <w14:ligatures w14:val="standardContextual"/>
              </w:rPr>
              <w:t xml:space="preserve"> </w:t>
            </w:r>
          </w:p>
          <w:p w14:paraId="722E4867"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bookmarkStart w:id="20" w:name="_Ref168999721"/>
            <w:r w:rsidRPr="008070DB">
              <w:rPr>
                <w:rFonts w:ascii="Times New Roman" w:eastAsiaTheme="minorHAnsi" w:hAnsi="Times New Roman" w:cs="Times New Roman"/>
                <w:sz w:val="18"/>
                <w:szCs w:val="18"/>
                <w:lang w:val="ro-MD"/>
                <w14:ligatures w14:val="standardContextual"/>
              </w:rPr>
              <w:t>104.2.1. scadenţa reziduală a tranzacţiei exprimată în ani pentru contractele derivate pe rata dobânzii, înmulţită cu 0,5 %;</w:t>
            </w:r>
            <w:bookmarkEnd w:id="20"/>
            <w:r w:rsidRPr="008070DB">
              <w:rPr>
                <w:rFonts w:ascii="Times New Roman" w:eastAsiaTheme="minorHAnsi" w:hAnsi="Times New Roman" w:cs="Times New Roman"/>
                <w:sz w:val="18"/>
                <w:szCs w:val="18"/>
                <w:lang w:val="ro-MD"/>
                <w14:ligatures w14:val="standardContextual"/>
              </w:rPr>
              <w:t xml:space="preserve"> </w:t>
            </w:r>
          </w:p>
          <w:p w14:paraId="749C8735"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bookmarkStart w:id="21" w:name="_Ref168999733"/>
            <w:r w:rsidRPr="008070DB">
              <w:rPr>
                <w:rFonts w:ascii="Times New Roman" w:eastAsiaTheme="minorHAnsi" w:hAnsi="Times New Roman" w:cs="Times New Roman"/>
                <w:sz w:val="18"/>
                <w:szCs w:val="18"/>
                <w:lang w:val="ro-MD"/>
                <w14:ligatures w14:val="standardContextual"/>
              </w:rPr>
              <w:t>104.2.2. scadenţa reziduală a tranzacţiei exprimată în ani pentru contractele derivate de credit, înmulţită cu 6 %;</w:t>
            </w:r>
            <w:bookmarkEnd w:id="21"/>
            <w:r w:rsidRPr="008070DB">
              <w:rPr>
                <w:rFonts w:ascii="Times New Roman" w:eastAsiaTheme="minorHAnsi" w:hAnsi="Times New Roman" w:cs="Times New Roman"/>
                <w:sz w:val="18"/>
                <w:szCs w:val="18"/>
                <w:lang w:val="ro-MD"/>
                <w14:ligatures w14:val="standardContextual"/>
              </w:rPr>
              <w:t xml:space="preserve"> </w:t>
            </w:r>
          </w:p>
          <w:p w14:paraId="33FBFCC2"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bookmarkStart w:id="22" w:name="_Ref168998815"/>
            <w:r w:rsidRPr="008070DB">
              <w:rPr>
                <w:rFonts w:ascii="Times New Roman" w:eastAsiaTheme="minorHAnsi" w:hAnsi="Times New Roman" w:cs="Times New Roman"/>
                <w:sz w:val="18"/>
                <w:szCs w:val="18"/>
                <w:lang w:val="ro-MD"/>
                <w14:ligatures w14:val="standardContextual"/>
              </w:rPr>
              <w:t>104.2.3. 4 % pentru instrumentele financiare derivate pe cursul de schimb valutar;</w:t>
            </w:r>
            <w:bookmarkEnd w:id="22"/>
            <w:r w:rsidRPr="008070DB">
              <w:rPr>
                <w:rFonts w:ascii="Times New Roman" w:eastAsiaTheme="minorHAnsi" w:hAnsi="Times New Roman" w:cs="Times New Roman"/>
                <w:sz w:val="18"/>
                <w:szCs w:val="18"/>
                <w:lang w:val="ro-MD"/>
                <w14:ligatures w14:val="standardContextual"/>
              </w:rPr>
              <w:t xml:space="preserve"> </w:t>
            </w:r>
          </w:p>
          <w:p w14:paraId="651C65BB"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104.2.4. 18 % pentru instrumentele financiare derivate pe aur și mărfuri, altele decât instrumentele financiare derivate pe energie electrică; </w:t>
            </w:r>
          </w:p>
          <w:p w14:paraId="0D77AD2D"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104.2.5. 40 % pentru instrumentele financiare derivate pe energie electrică; </w:t>
            </w:r>
          </w:p>
          <w:p w14:paraId="433B3C96" w14:textId="77777777"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bookmarkStart w:id="23" w:name="_Ref168998824"/>
            <w:r w:rsidRPr="008070DB">
              <w:rPr>
                <w:rFonts w:ascii="Times New Roman" w:eastAsiaTheme="minorHAnsi" w:hAnsi="Times New Roman" w:cs="Times New Roman"/>
                <w:sz w:val="18"/>
                <w:szCs w:val="18"/>
                <w:lang w:val="ro-MD"/>
                <w14:ligatures w14:val="standardContextual"/>
              </w:rPr>
              <w:lastRenderedPageBreak/>
              <w:t>104.2.6. 32 % pentru instrumentele financiare derivate pe titluri de capital;</w:t>
            </w:r>
            <w:bookmarkEnd w:id="23"/>
            <w:r w:rsidRPr="008070DB">
              <w:rPr>
                <w:rFonts w:ascii="Times New Roman" w:eastAsiaTheme="minorHAnsi" w:hAnsi="Times New Roman" w:cs="Times New Roman"/>
                <w:sz w:val="18"/>
                <w:szCs w:val="18"/>
                <w:lang w:val="ro-MD"/>
                <w14:ligatures w14:val="standardContextual"/>
              </w:rPr>
              <w:t xml:space="preserve"> </w:t>
            </w:r>
          </w:p>
          <w:p w14:paraId="52902AE5" w14:textId="49792572" w:rsidR="0003092F" w:rsidRPr="008070DB" w:rsidRDefault="0003092F" w:rsidP="003456B0">
            <w:pPr>
              <w:pStyle w:val="Default"/>
              <w:tabs>
                <w:tab w:val="left" w:pos="420"/>
              </w:tabs>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104.3. </w:t>
            </w:r>
            <w:r w:rsidR="00344EF4" w:rsidRPr="008070DB">
              <w:rPr>
                <w:rFonts w:ascii="Times New Roman" w:hAnsi="Times New Roman" w:cs="Times New Roman"/>
                <w:sz w:val="18"/>
                <w:szCs w:val="18"/>
              </w:rPr>
              <w:t xml:space="preserve"> </w:t>
            </w:r>
            <w:r w:rsidR="00344EF4" w:rsidRPr="008070DB">
              <w:rPr>
                <w:rFonts w:ascii="Times New Roman" w:eastAsiaTheme="minorHAnsi" w:hAnsi="Times New Roman" w:cs="Times New Roman"/>
                <w:sz w:val="18"/>
                <w:szCs w:val="18"/>
                <w:lang w:val="ro-MD"/>
                <w14:ligatures w14:val="standardContextual"/>
              </w:rPr>
              <w:t>valoarea noţională menţionată la subpunctul 104.2. se determină în conformitate cu punctele 73 și 74 pentru toate instrumentele financiare derivate enumerate la subpunctul respectiv; în plus, valoarea noţională a instrumentelor financiare derivate menţionate la subpunctele 104.2.3.–104.2.6. se determină în conformitate cu punctul 72 subpunctele 72.2. și 72.3.;</w:t>
            </w:r>
          </w:p>
          <w:p w14:paraId="7FCA7C50" w14:textId="5CBE6369"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sz w:val="18"/>
                <w:szCs w:val="18"/>
                <w:lang w:val="ro-MD"/>
                <w14:ligatures w14:val="standardContextual"/>
              </w:rPr>
              <w:t xml:space="preserve">104.4. </w:t>
            </w:r>
            <w:r w:rsidRPr="008070DB">
              <w:rPr>
                <w:rFonts w:ascii="Times New Roman" w:eastAsiaTheme="minorHAnsi" w:hAnsi="Times New Roman" w:cs="Times New Roman"/>
                <w:sz w:val="18"/>
                <w:szCs w:val="18"/>
                <w14:ligatures w14:val="standardContextual"/>
              </w:rPr>
              <w:t xml:space="preserve">expunerea viitoare potenţială a seturilor de compensare menţionate la punctul 103 subpunctul </w:t>
            </w:r>
            <w:r w:rsidRPr="008070DB">
              <w:rPr>
                <w:rFonts w:ascii="Times New Roman" w:eastAsiaTheme="minorHAnsi" w:hAnsi="Times New Roman" w:cs="Times New Roman"/>
                <w:sz w:val="18"/>
                <w:szCs w:val="18"/>
                <w:lang w:val="ro-MD"/>
                <w14:ligatures w14:val="standardContextual"/>
              </w:rPr>
              <w:t xml:space="preserve">103.1. </w:t>
            </w:r>
            <w:r w:rsidRPr="008070DB">
              <w:rPr>
                <w:rFonts w:ascii="Times New Roman" w:eastAsiaTheme="minorHAnsi" w:hAnsi="Times New Roman" w:cs="Times New Roman"/>
                <w:sz w:val="18"/>
                <w:szCs w:val="18"/>
                <w14:ligatures w14:val="standardContextual"/>
              </w:rPr>
              <w:t>se înmulţește cu 0,42.</w:t>
            </w:r>
          </w:p>
          <w:p w14:paraId="16100333" w14:textId="7B6F62EE" w:rsidR="0003092F" w:rsidRPr="008070DB" w:rsidRDefault="0003092F" w:rsidP="003456B0">
            <w:pPr>
              <w:pStyle w:val="Default"/>
              <w:jc w:val="both"/>
              <w:rPr>
                <w:rFonts w:ascii="Times New Roman" w:eastAsiaTheme="minorHAnsi" w:hAnsi="Times New Roman" w:cs="Times New Roman"/>
                <w:sz w:val="18"/>
                <w:szCs w:val="18"/>
                <w:lang w:val="ro-MD"/>
                <w14:ligatures w14:val="standardContextual"/>
              </w:rPr>
            </w:pPr>
            <w:r w:rsidRPr="008070DB">
              <w:rPr>
                <w:rFonts w:ascii="Times New Roman" w:eastAsiaTheme="minorHAnsi" w:hAnsi="Times New Roman" w:cs="Times New Roman"/>
                <w:b/>
                <w:bCs/>
                <w:sz w:val="18"/>
                <w:szCs w:val="18"/>
                <w:lang w:val="ro-MD"/>
                <w14:ligatures w14:val="standardContextual"/>
              </w:rPr>
              <w:t>105.</w:t>
            </w:r>
            <w:r w:rsidRPr="008070DB">
              <w:rPr>
                <w:rFonts w:ascii="Times New Roman" w:eastAsiaTheme="minorHAnsi" w:hAnsi="Times New Roman" w:cs="Times New Roman"/>
                <w:sz w:val="18"/>
                <w:szCs w:val="18"/>
                <w:lang w:val="ro-MD"/>
                <w14:ligatures w14:val="standardContextual"/>
              </w:rPr>
              <w:t xml:space="preserve"> Pentru a calcula expunerea potenţială a instrumentelor financiare derivate pe rata dobânzii și a instrumentelor financiare derivate de credit în conformitate cu punctul 104 subpunctele </w:t>
            </w:r>
            <w:r w:rsidR="00344EF4" w:rsidRPr="008070DB">
              <w:rPr>
                <w:rFonts w:ascii="Times New Roman" w:eastAsiaTheme="minorHAnsi" w:hAnsi="Times New Roman" w:cs="Times New Roman"/>
                <w:sz w:val="18"/>
                <w:szCs w:val="18"/>
                <w:lang w:val="ro-MD"/>
                <w14:ligatures w14:val="standardContextual"/>
              </w:rPr>
              <w:t>104.2.1.</w:t>
            </w:r>
            <w:r w:rsidRPr="008070DB">
              <w:rPr>
                <w:rFonts w:ascii="Times New Roman" w:eastAsiaTheme="minorHAnsi" w:hAnsi="Times New Roman" w:cs="Times New Roman"/>
                <w:sz w:val="18"/>
                <w:szCs w:val="18"/>
                <w:lang w:val="ro-MD"/>
                <w14:ligatures w14:val="standardContextual"/>
              </w:rPr>
              <w:t xml:space="preserve"> și </w:t>
            </w:r>
            <w:r w:rsidR="00344EF4" w:rsidRPr="008070DB">
              <w:rPr>
                <w:rFonts w:ascii="Times New Roman" w:eastAsiaTheme="minorHAnsi" w:hAnsi="Times New Roman" w:cs="Times New Roman"/>
                <w:sz w:val="18"/>
                <w:szCs w:val="18"/>
                <w:lang w:val="ro-MD"/>
                <w14:ligatures w14:val="standardContextual"/>
              </w:rPr>
              <w:t>1</w:t>
            </w:r>
            <w:r w:rsidRPr="008070DB">
              <w:rPr>
                <w:rFonts w:ascii="Times New Roman" w:eastAsiaTheme="minorHAnsi" w:hAnsi="Times New Roman" w:cs="Times New Roman"/>
                <w:sz w:val="18"/>
                <w:szCs w:val="18"/>
                <w:lang w:val="ro-MD"/>
                <w14:ligatures w14:val="standardContextual"/>
              </w:rPr>
              <w:fldChar w:fldCharType="begin"/>
            </w:r>
            <w:r w:rsidRPr="008070DB">
              <w:rPr>
                <w:rFonts w:ascii="Times New Roman" w:eastAsiaTheme="minorHAnsi" w:hAnsi="Times New Roman" w:cs="Times New Roman"/>
                <w:sz w:val="18"/>
                <w:szCs w:val="18"/>
                <w:lang w:val="ro-MD"/>
                <w14:ligatures w14:val="standardContextual"/>
              </w:rPr>
              <w:instrText xml:space="preserve"> REF _Ref168999733 \r \h  \* MERGEFORMAT </w:instrText>
            </w:r>
            <w:r w:rsidRPr="008070DB">
              <w:rPr>
                <w:rFonts w:ascii="Times New Roman" w:eastAsiaTheme="minorHAnsi" w:hAnsi="Times New Roman" w:cs="Times New Roman"/>
                <w:sz w:val="18"/>
                <w:szCs w:val="18"/>
                <w:lang w:val="ro-MD"/>
                <w14:ligatures w14:val="standardContextual"/>
              </w:rPr>
            </w:r>
            <w:r w:rsidRPr="008070DB">
              <w:rPr>
                <w:rFonts w:ascii="Times New Roman" w:eastAsiaTheme="minorHAnsi" w:hAnsi="Times New Roman" w:cs="Times New Roman"/>
                <w:sz w:val="18"/>
                <w:szCs w:val="18"/>
                <w:lang w:val="ro-MD"/>
                <w14:ligatures w14:val="standardContextual"/>
              </w:rPr>
              <w:fldChar w:fldCharType="separate"/>
            </w:r>
            <w:r w:rsidR="00974022" w:rsidRPr="008070DB">
              <w:rPr>
                <w:rFonts w:ascii="Times New Roman" w:eastAsiaTheme="minorHAnsi" w:hAnsi="Times New Roman" w:cs="Times New Roman"/>
                <w:sz w:val="18"/>
                <w:szCs w:val="18"/>
                <w:lang w:val="ro-MD"/>
                <w14:ligatures w14:val="standardContextual"/>
              </w:rPr>
              <w:t>0</w:t>
            </w:r>
            <w:r w:rsidRPr="008070DB">
              <w:rPr>
                <w:rFonts w:ascii="Times New Roman" w:eastAsiaTheme="minorHAnsi" w:hAnsi="Times New Roman" w:cs="Times New Roman"/>
                <w:sz w:val="18"/>
                <w:szCs w:val="18"/>
                <w:lang w:val="ro-MD"/>
                <w14:ligatures w14:val="standardContextual"/>
              </w:rPr>
              <w:fldChar w:fldCharType="end"/>
            </w:r>
            <w:r w:rsidR="00344EF4" w:rsidRPr="008070DB">
              <w:rPr>
                <w:rFonts w:ascii="Times New Roman" w:eastAsiaTheme="minorHAnsi" w:hAnsi="Times New Roman" w:cs="Times New Roman"/>
                <w:sz w:val="18"/>
                <w:szCs w:val="18"/>
                <w:lang w:val="ro-MD"/>
                <w14:ligatures w14:val="standardContextual"/>
              </w:rPr>
              <w:t>4</w:t>
            </w:r>
            <w:r w:rsidRPr="008070DB">
              <w:rPr>
                <w:rFonts w:ascii="Times New Roman" w:eastAsiaTheme="minorHAnsi" w:hAnsi="Times New Roman" w:cs="Times New Roman"/>
                <w:sz w:val="18"/>
                <w:szCs w:val="18"/>
                <w:lang w:val="ro-MD"/>
                <w14:ligatures w14:val="standardContextual"/>
              </w:rPr>
              <w:t>.</w:t>
            </w:r>
            <w:r w:rsidR="00344EF4" w:rsidRPr="008070DB">
              <w:rPr>
                <w:rFonts w:ascii="Times New Roman" w:eastAsiaTheme="minorHAnsi" w:hAnsi="Times New Roman" w:cs="Times New Roman"/>
                <w:sz w:val="18"/>
                <w:szCs w:val="18"/>
                <w:lang w:val="ro-MD"/>
                <w14:ligatures w14:val="standardContextual"/>
              </w:rPr>
              <w:t>2.2.</w:t>
            </w:r>
            <w:r w:rsidRPr="008070DB">
              <w:rPr>
                <w:rFonts w:ascii="Times New Roman" w:eastAsiaTheme="minorHAnsi" w:hAnsi="Times New Roman" w:cs="Times New Roman"/>
                <w:sz w:val="18"/>
                <w:szCs w:val="18"/>
                <w:lang w:val="ro-MD"/>
                <w14:ligatures w14:val="standardContextual"/>
              </w:rPr>
              <w:t xml:space="preserve">, banca poate alege să utilizeze scadenţa iniţială în loc de scadenţa reziduală a contractelor. </w:t>
            </w:r>
          </w:p>
          <w:p w14:paraId="564B9B85" w14:textId="77777777" w:rsidR="001A4DE8" w:rsidRPr="008070DB" w:rsidRDefault="001A4DE8" w:rsidP="003456B0">
            <w:pPr>
              <w:pStyle w:val="Default"/>
              <w:jc w:val="both"/>
              <w:rPr>
                <w:rFonts w:ascii="Times New Roman" w:eastAsiaTheme="minorHAnsi" w:hAnsi="Times New Roman" w:cs="Times New Roman"/>
                <w:sz w:val="18"/>
                <w:szCs w:val="18"/>
                <w:lang w:val="ro-MD"/>
                <w14:ligatures w14:val="standardContextual"/>
              </w:rPr>
            </w:pPr>
          </w:p>
          <w:p w14:paraId="0E234C6D"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23317FA4"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724CB882"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FE4CFDD"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0A3E6C10"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192EEDB"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C69DDBB"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36AC8B80"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39672469"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65BD90E"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1BFC3F59"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0A2ABD77"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075BF764"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04292501"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1E9BC42" w14:textId="77777777" w:rsidR="00A665E3" w:rsidRPr="008070DB" w:rsidRDefault="00A665E3" w:rsidP="003456B0">
            <w:pPr>
              <w:pStyle w:val="Default"/>
              <w:jc w:val="both"/>
              <w:rPr>
                <w:rFonts w:ascii="Times New Roman" w:eastAsiaTheme="minorHAnsi" w:hAnsi="Times New Roman" w:cs="Times New Roman"/>
                <w:sz w:val="18"/>
                <w:szCs w:val="18"/>
                <w:lang w:val="ro-MD"/>
                <w14:ligatures w14:val="standardContextual"/>
              </w:rPr>
            </w:pPr>
          </w:p>
          <w:p w14:paraId="685CF69F" w14:textId="77777777" w:rsidR="00A665E3" w:rsidRPr="008070DB" w:rsidRDefault="00A665E3" w:rsidP="003456B0">
            <w:pPr>
              <w:pStyle w:val="Default"/>
              <w:jc w:val="both"/>
              <w:rPr>
                <w:rFonts w:ascii="Times New Roman" w:eastAsiaTheme="minorHAnsi" w:hAnsi="Times New Roman" w:cs="Times New Roman"/>
                <w:sz w:val="18"/>
                <w:szCs w:val="18"/>
                <w:lang w:val="ro-MD"/>
                <w14:ligatures w14:val="standardContextual"/>
              </w:rPr>
            </w:pPr>
          </w:p>
          <w:p w14:paraId="061340DF" w14:textId="77777777" w:rsidR="00A665E3" w:rsidRPr="008070DB" w:rsidRDefault="00A665E3" w:rsidP="003456B0">
            <w:pPr>
              <w:pStyle w:val="Default"/>
              <w:jc w:val="both"/>
              <w:rPr>
                <w:rFonts w:ascii="Times New Roman" w:eastAsiaTheme="minorHAnsi" w:hAnsi="Times New Roman" w:cs="Times New Roman"/>
                <w:sz w:val="18"/>
                <w:szCs w:val="18"/>
                <w:lang w:val="ro-MD"/>
                <w14:ligatures w14:val="standardContextual"/>
              </w:rPr>
            </w:pPr>
          </w:p>
          <w:p w14:paraId="18B25480"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6CF50E4B"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4B1BAA3E" w14:textId="77777777" w:rsidR="009634ED" w:rsidRPr="008070DB" w:rsidRDefault="009634ED" w:rsidP="003456B0">
            <w:pPr>
              <w:pStyle w:val="Default"/>
              <w:jc w:val="both"/>
              <w:rPr>
                <w:rFonts w:ascii="Times New Roman" w:eastAsiaTheme="minorHAnsi" w:hAnsi="Times New Roman" w:cs="Times New Roman"/>
                <w:sz w:val="18"/>
                <w:szCs w:val="18"/>
                <w:lang w:val="ro-MD"/>
                <w14:ligatures w14:val="standardContextual"/>
              </w:rPr>
            </w:pPr>
          </w:p>
          <w:p w14:paraId="1AE8334D" w14:textId="7AD0422B" w:rsidR="009634ED" w:rsidRPr="008070DB" w:rsidRDefault="009634ED"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lastRenderedPageBreak/>
              <w:t xml:space="preserve">Prevederi existente - </w:t>
            </w:r>
            <w:r w:rsidRPr="008070DB">
              <w:rPr>
                <w:rFonts w:eastAsiaTheme="minorHAnsi"/>
                <w:i/>
                <w:iCs/>
                <w:color w:val="000000"/>
                <w:sz w:val="18"/>
                <w:szCs w:val="18"/>
                <w:lang w:val="ro-RO" w:eastAsia="en-US"/>
                <w14:ligatures w14:val="standardContextual"/>
              </w:rPr>
              <w:t>Regulamentul nr.220/2025</w:t>
            </w:r>
          </w:p>
        </w:tc>
        <w:tc>
          <w:tcPr>
            <w:tcW w:w="1554" w:type="dxa"/>
          </w:tcPr>
          <w:p w14:paraId="5904D3BC" w14:textId="123BB81D" w:rsidR="001A4DE8" w:rsidRPr="00A96E09" w:rsidRDefault="00230576" w:rsidP="00C14AF6">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708513DC" w14:textId="0EEDA27A" w:rsidR="001A4DE8" w:rsidRPr="00A96E09" w:rsidRDefault="001A4DE8" w:rsidP="00C14AF6">
            <w:pPr>
              <w:rPr>
                <w:sz w:val="18"/>
                <w:szCs w:val="18"/>
                <w:lang w:val="ro-MD"/>
              </w:rPr>
            </w:pPr>
          </w:p>
        </w:tc>
      </w:tr>
      <w:tr w:rsidR="001A4DE8" w:rsidRPr="007C0793" w14:paraId="62F9C368" w14:textId="77777777" w:rsidTr="00C14AF6">
        <w:trPr>
          <w:trHeight w:val="918"/>
        </w:trPr>
        <w:tc>
          <w:tcPr>
            <w:tcW w:w="3866" w:type="dxa"/>
          </w:tcPr>
          <w:p w14:paraId="1C97CD58" w14:textId="77777777" w:rsidR="001A4DE8" w:rsidRPr="006A6D2F" w:rsidRDefault="001A4DE8" w:rsidP="003456B0">
            <w:pPr>
              <w:pStyle w:val="title-article-norm"/>
              <w:jc w:val="both"/>
              <w:rPr>
                <w:i w:val="0"/>
                <w:sz w:val="18"/>
                <w:szCs w:val="18"/>
                <w:lang w:val="ro-MD"/>
              </w:rPr>
            </w:pPr>
            <w:r w:rsidRPr="006A6D2F">
              <w:rPr>
                <w:i w:val="0"/>
                <w:sz w:val="18"/>
                <w:szCs w:val="18"/>
                <w:lang w:val="ro-MD"/>
              </w:rPr>
              <w:lastRenderedPageBreak/>
              <w:t>Secțiunea 6</w:t>
            </w:r>
          </w:p>
          <w:p w14:paraId="43469BA3" w14:textId="174A6881" w:rsidR="001A4DE8" w:rsidRPr="006A6D2F" w:rsidRDefault="001A4DE8" w:rsidP="003456B0">
            <w:pPr>
              <w:pStyle w:val="title-article-norm"/>
              <w:jc w:val="both"/>
              <w:rPr>
                <w:b/>
                <w:i w:val="0"/>
                <w:sz w:val="18"/>
                <w:szCs w:val="18"/>
                <w:lang w:val="ro-MD"/>
              </w:rPr>
            </w:pPr>
            <w:r w:rsidRPr="006A6D2F">
              <w:rPr>
                <w:b/>
                <w:i w:val="0"/>
                <w:sz w:val="18"/>
                <w:szCs w:val="18"/>
                <w:lang w:val="ro-MD"/>
              </w:rPr>
              <w:t>Metoda modelului intern</w:t>
            </w:r>
          </w:p>
          <w:p w14:paraId="0CD0C5BD" w14:textId="77777777" w:rsidR="001A4DE8" w:rsidRPr="006A6D2F" w:rsidRDefault="001A4DE8" w:rsidP="003456B0">
            <w:pPr>
              <w:pStyle w:val="CM4"/>
              <w:spacing w:before="60" w:after="60"/>
              <w:jc w:val="both"/>
              <w:rPr>
                <w:rFonts w:ascii="Times New Roman" w:hAnsi="Times New Roman"/>
                <w:b/>
                <w:sz w:val="18"/>
                <w:szCs w:val="18"/>
                <w:lang w:val="ro-MD"/>
              </w:rPr>
            </w:pPr>
            <w:r w:rsidRPr="006A6D2F">
              <w:rPr>
                <w:rFonts w:ascii="Times New Roman" w:hAnsi="Times New Roman"/>
                <w:i/>
                <w:iCs/>
                <w:sz w:val="18"/>
                <w:szCs w:val="18"/>
                <w:lang w:val="ro-MD"/>
              </w:rPr>
              <w:t>Articolul 283</w:t>
            </w:r>
            <w:r w:rsidRPr="006A6D2F">
              <w:rPr>
                <w:rFonts w:ascii="Times New Roman" w:hAnsi="Times New Roman"/>
                <w:sz w:val="18"/>
                <w:szCs w:val="18"/>
                <w:lang w:val="ro-MD"/>
              </w:rPr>
              <w:t xml:space="preserve"> </w:t>
            </w:r>
            <w:r w:rsidRPr="006A6D2F">
              <w:rPr>
                <w:rFonts w:ascii="Times New Roman" w:hAnsi="Times New Roman"/>
                <w:b/>
                <w:sz w:val="18"/>
                <w:szCs w:val="18"/>
                <w:lang w:val="ro-MD"/>
              </w:rPr>
              <w:t xml:space="preserve">Permisiunea de utilizare a metodei modelului intern </w:t>
            </w:r>
          </w:p>
          <w:p w14:paraId="7CD801BB" w14:textId="0CFA46CA" w:rsidR="006A6D2F" w:rsidRPr="006A6D2F" w:rsidRDefault="006A6D2F" w:rsidP="003456B0">
            <w:pPr>
              <w:shd w:val="clear" w:color="auto" w:fill="FFFFFF"/>
              <w:jc w:val="both"/>
              <w:rPr>
                <w:color w:val="000000"/>
                <w:sz w:val="18"/>
                <w:szCs w:val="18"/>
                <w:lang w:val="en-US"/>
              </w:rPr>
            </w:pPr>
            <w:r w:rsidRPr="006A6D2F">
              <w:rPr>
                <w:rStyle w:val="no-parag"/>
                <w:color w:val="000000"/>
                <w:sz w:val="18"/>
                <w:szCs w:val="18"/>
                <w:lang w:val="en-US"/>
              </w:rPr>
              <w:t>(1)  </w:t>
            </w:r>
            <w:r w:rsidRPr="006A6D2F">
              <w:rPr>
                <w:color w:val="000000"/>
                <w:sz w:val="18"/>
                <w:szCs w:val="18"/>
                <w:lang w:val="en-US"/>
              </w:rPr>
              <w:t> Dacă autoritățile competente consideră că cerința prevăzută la alineatul (2) a fost îndeplinită de o instituție, acestea permit instituției respective să utilizeze metoda modelului intern (MMI) pentru a calcula valoarea expunerii pentru oricare din următoarele tranzacții:</w:t>
            </w:r>
          </w:p>
          <w:p w14:paraId="4CA34DED" w14:textId="4AA725FA" w:rsidR="006A6D2F" w:rsidRPr="006A6D2F" w:rsidRDefault="006A6D2F" w:rsidP="003456B0">
            <w:pPr>
              <w:shd w:val="clear" w:color="auto" w:fill="FFFFFF"/>
              <w:jc w:val="both"/>
              <w:rPr>
                <w:color w:val="000000"/>
                <w:sz w:val="18"/>
                <w:szCs w:val="18"/>
                <w:lang w:val="en-US"/>
              </w:rPr>
            </w:pPr>
            <w:r w:rsidRPr="006A6D2F">
              <w:rPr>
                <w:color w:val="000000"/>
                <w:sz w:val="18"/>
                <w:szCs w:val="18"/>
                <w:lang w:val="en-US"/>
              </w:rPr>
              <w:t>(a) tranzacțiile menționate la articolul 273 alineatul (2) litera (a</w:t>
            </w:r>
            <w:proofErr w:type="gramStart"/>
            <w:r w:rsidRPr="006A6D2F">
              <w:rPr>
                <w:color w:val="000000"/>
                <w:sz w:val="18"/>
                <w:szCs w:val="18"/>
                <w:lang w:val="en-US"/>
              </w:rPr>
              <w:t>);</w:t>
            </w:r>
            <w:proofErr w:type="gramEnd"/>
          </w:p>
          <w:p w14:paraId="5BBD4309" w14:textId="0968D78B" w:rsidR="006A6D2F" w:rsidRPr="006A6D2F" w:rsidRDefault="006A6D2F" w:rsidP="003456B0">
            <w:pPr>
              <w:shd w:val="clear" w:color="auto" w:fill="FFFFFF"/>
              <w:jc w:val="both"/>
              <w:rPr>
                <w:color w:val="000000"/>
                <w:sz w:val="18"/>
                <w:szCs w:val="18"/>
                <w:lang w:val="en-US"/>
              </w:rPr>
            </w:pPr>
            <w:r w:rsidRPr="006A6D2F">
              <w:rPr>
                <w:color w:val="000000"/>
                <w:sz w:val="18"/>
                <w:szCs w:val="18"/>
                <w:lang w:val="en-US"/>
              </w:rPr>
              <w:t>(b) tranzacțiile menționate la articolul 273 alineatul (2) literele (b), (c) și (d</w:t>
            </w:r>
            <w:proofErr w:type="gramStart"/>
            <w:r w:rsidRPr="006A6D2F">
              <w:rPr>
                <w:color w:val="000000"/>
                <w:sz w:val="18"/>
                <w:szCs w:val="18"/>
                <w:lang w:val="en-US"/>
              </w:rPr>
              <w:t>);</w:t>
            </w:r>
            <w:proofErr w:type="gramEnd"/>
          </w:p>
          <w:p w14:paraId="4B323674" w14:textId="16219C4E" w:rsidR="006A6D2F" w:rsidRPr="006A6D2F" w:rsidRDefault="006A6D2F" w:rsidP="003456B0">
            <w:pPr>
              <w:shd w:val="clear" w:color="auto" w:fill="FFFFFF"/>
              <w:jc w:val="both"/>
              <w:rPr>
                <w:color w:val="000000"/>
                <w:sz w:val="18"/>
                <w:szCs w:val="18"/>
                <w:lang w:val="en-US"/>
              </w:rPr>
            </w:pPr>
            <w:r w:rsidRPr="006A6D2F">
              <w:rPr>
                <w:color w:val="000000"/>
                <w:sz w:val="18"/>
                <w:szCs w:val="18"/>
                <w:lang w:val="en-US"/>
              </w:rPr>
              <w:t>(c) tranzacțiile menționate la articolul 273 alineatul (2) literele (a) - (d).</w:t>
            </w:r>
          </w:p>
          <w:p w14:paraId="605FE1D8" w14:textId="77777777" w:rsidR="006A6D2F" w:rsidRPr="006A6D2F" w:rsidRDefault="006A6D2F" w:rsidP="003456B0">
            <w:pPr>
              <w:pStyle w:val="norm"/>
              <w:shd w:val="clear" w:color="auto" w:fill="FFFFFF"/>
              <w:rPr>
                <w:color w:val="000000"/>
                <w:sz w:val="18"/>
                <w:szCs w:val="18"/>
              </w:rPr>
            </w:pPr>
            <w:r w:rsidRPr="006A6D2F">
              <w:rPr>
                <w:color w:val="000000"/>
                <w:sz w:val="18"/>
                <w:szCs w:val="18"/>
              </w:rPr>
              <w:t>Dacă o instituție a primit aprobarea de a utiliza MMI pentru a calcula valoarea expunerii pentru oricare din tranzacțiile menționate la primul paragraf literele (a)-(c), aceasta poate, de asemenea, să utilizeze MMI pentru tranzacțiile menționate la articolul 273 alineatul (2) litera (e).</w:t>
            </w:r>
          </w:p>
          <w:p w14:paraId="59681646" w14:textId="77777777" w:rsidR="006A6D2F" w:rsidRPr="006A6D2F" w:rsidRDefault="006A6D2F" w:rsidP="003456B0">
            <w:pPr>
              <w:pStyle w:val="norm"/>
              <w:shd w:val="clear" w:color="auto" w:fill="FFFFFF"/>
              <w:rPr>
                <w:color w:val="000000"/>
                <w:sz w:val="18"/>
                <w:szCs w:val="18"/>
              </w:rPr>
            </w:pPr>
            <w:r w:rsidRPr="006A6D2F">
              <w:rPr>
                <w:color w:val="000000"/>
                <w:sz w:val="18"/>
                <w:szCs w:val="18"/>
              </w:rPr>
              <w:t>În pofida articolului 273 alineatul (1) al treilea paragraf, o instituție poate decide să nu aplice această metodă pentru expunerile care sunt nesemnificative în ceea ce privește dimensiunea și riscul. Într-un astfel de caz, instituția aplică acestor expuneri una dintre metodele prevăzute în secțiunile 3-5, dacă sunt îndeplinite cerințele relevante pentru fiecare abordare.</w:t>
            </w:r>
          </w:p>
          <w:p w14:paraId="62867ACB" w14:textId="227627A4" w:rsidR="006A6D2F" w:rsidRPr="006A6D2F" w:rsidRDefault="006A6D2F" w:rsidP="003456B0">
            <w:pPr>
              <w:shd w:val="clear" w:color="auto" w:fill="FFFFFF"/>
              <w:jc w:val="both"/>
              <w:rPr>
                <w:color w:val="000000"/>
                <w:sz w:val="18"/>
                <w:szCs w:val="18"/>
                <w:lang w:val="en-US"/>
              </w:rPr>
            </w:pPr>
            <w:r w:rsidRPr="006A6D2F">
              <w:rPr>
                <w:rStyle w:val="no-parag"/>
                <w:color w:val="000000"/>
                <w:sz w:val="18"/>
                <w:szCs w:val="18"/>
                <w:lang w:val="en-US"/>
              </w:rPr>
              <w:t>(2)  </w:t>
            </w:r>
            <w:r w:rsidRPr="006A6D2F">
              <w:rPr>
                <w:color w:val="000000"/>
                <w:sz w:val="18"/>
                <w:szCs w:val="18"/>
                <w:lang w:val="en-US"/>
              </w:rPr>
              <w:t xml:space="preserve"> Autoritățile competente permit unei instituții să utilizeze MMI pentru calculele menționate la </w:t>
            </w:r>
            <w:r w:rsidRPr="006A6D2F">
              <w:rPr>
                <w:color w:val="000000"/>
                <w:sz w:val="18"/>
                <w:szCs w:val="18"/>
                <w:lang w:val="en-US"/>
              </w:rPr>
              <w:lastRenderedPageBreak/>
              <w:t>alineatul (1) numai dacă instituția a demonstrat că îndeplinește cerințele stabilite în prezenta secțiune și dacă au verificat că sistemele de administrare a CCR utilizate de instituție sunt solide și sunt implementate în mod adecvat.</w:t>
            </w:r>
          </w:p>
          <w:p w14:paraId="0FB8878E" w14:textId="29DB871C" w:rsidR="006A6D2F" w:rsidRPr="006A6D2F" w:rsidRDefault="006A6D2F" w:rsidP="003456B0">
            <w:pPr>
              <w:shd w:val="clear" w:color="auto" w:fill="FFFFFF"/>
              <w:jc w:val="both"/>
              <w:rPr>
                <w:color w:val="000000"/>
                <w:sz w:val="18"/>
                <w:szCs w:val="18"/>
                <w:lang w:val="en-US"/>
              </w:rPr>
            </w:pPr>
            <w:r w:rsidRPr="006A6D2F">
              <w:rPr>
                <w:rStyle w:val="no-parag"/>
                <w:color w:val="000000"/>
                <w:sz w:val="18"/>
                <w:szCs w:val="18"/>
                <w:lang w:val="en-US"/>
              </w:rPr>
              <w:t>(3)  </w:t>
            </w:r>
            <w:r w:rsidRPr="006A6D2F">
              <w:rPr>
                <w:color w:val="000000"/>
                <w:sz w:val="18"/>
                <w:szCs w:val="18"/>
                <w:lang w:val="en-US"/>
              </w:rPr>
              <w:t> Autoritățile competente pot permite instituțiilor, pentru o perioadă limitată, să aplice MMI în mod secvențial pentru diferite tipuri de tranzacții. În cursul acestei perioade de aplicare secvențială, instituțiile pot utiliza metodele prevăzute în secțiunea 3 sau în secțiunea 5 pentru tipul de tranzacție pentru care nu utilizează MMI.</w:t>
            </w:r>
          </w:p>
          <w:p w14:paraId="159BE40E" w14:textId="510A44AD" w:rsidR="006A6D2F" w:rsidRPr="006A6D2F" w:rsidRDefault="006A6D2F" w:rsidP="003456B0">
            <w:pPr>
              <w:shd w:val="clear" w:color="auto" w:fill="FFFFFF"/>
              <w:jc w:val="both"/>
              <w:rPr>
                <w:color w:val="000000"/>
                <w:sz w:val="18"/>
                <w:szCs w:val="18"/>
                <w:lang w:val="en-US"/>
              </w:rPr>
            </w:pPr>
            <w:r w:rsidRPr="006A6D2F">
              <w:rPr>
                <w:rStyle w:val="no-parag"/>
                <w:color w:val="000000"/>
                <w:sz w:val="18"/>
                <w:szCs w:val="18"/>
                <w:lang w:val="en-US"/>
              </w:rPr>
              <w:t xml:space="preserve">(4) </w:t>
            </w:r>
            <w:r w:rsidRPr="006A6D2F">
              <w:rPr>
                <w:color w:val="000000"/>
                <w:sz w:val="18"/>
                <w:szCs w:val="18"/>
                <w:lang w:val="en-US"/>
              </w:rPr>
              <w:t>Pentru toate tranzacțiile cu instrumente financiare derivate extrabursiere și pentru tranzacțiile cu termen lung de decontare pentru care nu a primit, în temeiul alineatului (1), aprobarea de a utiliza MMI, instituția utilizează metodele prevăzute în secțiunea 3. În cadrul unui grup, aceste metode pot fi utilizate în combinație în mod permanent.</w:t>
            </w:r>
          </w:p>
          <w:p w14:paraId="3649DFF1" w14:textId="1D35E6AD" w:rsidR="006A6D2F" w:rsidRPr="006A6D2F" w:rsidRDefault="006A6D2F" w:rsidP="003456B0">
            <w:pPr>
              <w:shd w:val="clear" w:color="auto" w:fill="FFFFFF"/>
              <w:jc w:val="both"/>
              <w:rPr>
                <w:color w:val="000000"/>
                <w:sz w:val="18"/>
                <w:szCs w:val="18"/>
                <w:lang w:val="en-US"/>
              </w:rPr>
            </w:pPr>
            <w:r w:rsidRPr="006A6D2F">
              <w:rPr>
                <w:rStyle w:val="no-parag"/>
                <w:color w:val="000000"/>
                <w:sz w:val="18"/>
                <w:szCs w:val="18"/>
                <w:lang w:val="en-US"/>
              </w:rPr>
              <w:t xml:space="preserve">(5) </w:t>
            </w:r>
            <w:r w:rsidRPr="006A6D2F">
              <w:rPr>
                <w:color w:val="000000"/>
                <w:sz w:val="18"/>
                <w:szCs w:val="18"/>
                <w:lang w:val="en-US"/>
              </w:rPr>
              <w:t>O instituție care a primit, în temeiul alineatului (1), aprobarea de a utiliza MMI nu poate reveni la utilizarea metodelor prevăzute în secțiunea 3 sau în secțiunea 5, cu excepția cazului în care are aprobarea autorității competente de a proceda astfel. Autoritățile competente acordă această permisiune dacă instituția face dovadă că are motive întemeiate.</w:t>
            </w:r>
          </w:p>
          <w:p w14:paraId="4AE5037E" w14:textId="45532189" w:rsidR="006A6D2F" w:rsidRPr="006A6D2F" w:rsidRDefault="006A6D2F" w:rsidP="003456B0">
            <w:pPr>
              <w:shd w:val="clear" w:color="auto" w:fill="FFFFFF"/>
              <w:jc w:val="both"/>
              <w:rPr>
                <w:color w:val="000000"/>
                <w:sz w:val="18"/>
                <w:szCs w:val="18"/>
                <w:lang w:val="en-US"/>
              </w:rPr>
            </w:pPr>
            <w:r w:rsidRPr="006A6D2F">
              <w:rPr>
                <w:rStyle w:val="no-parag"/>
                <w:color w:val="000000"/>
                <w:sz w:val="18"/>
                <w:szCs w:val="18"/>
                <w:lang w:val="en-US"/>
              </w:rPr>
              <w:t>(6) </w:t>
            </w:r>
            <w:r w:rsidRPr="006A6D2F">
              <w:rPr>
                <w:color w:val="000000"/>
                <w:sz w:val="18"/>
                <w:szCs w:val="18"/>
                <w:lang w:val="en-US"/>
              </w:rPr>
              <w:t>Dacă o instituție încetează să se conformeze cerințelor stabilite în prezenta secțiune, aceasta notifică autoritatea competentă și îndeplinește una din următoarele acțiuni:</w:t>
            </w:r>
          </w:p>
          <w:p w14:paraId="48CFCA14" w14:textId="213A56D1" w:rsidR="006A6D2F" w:rsidRPr="006A6D2F" w:rsidRDefault="006A6D2F" w:rsidP="003456B0">
            <w:pPr>
              <w:shd w:val="clear" w:color="auto" w:fill="FFFFFF"/>
              <w:jc w:val="both"/>
              <w:rPr>
                <w:color w:val="000000"/>
                <w:sz w:val="18"/>
                <w:szCs w:val="18"/>
                <w:lang w:val="en-US"/>
              </w:rPr>
            </w:pPr>
            <w:r w:rsidRPr="006A6D2F">
              <w:rPr>
                <w:color w:val="000000"/>
                <w:sz w:val="18"/>
                <w:szCs w:val="18"/>
                <w:lang w:val="en-US"/>
              </w:rPr>
              <w:t xml:space="preserve">(a) prezintă autorității competente </w:t>
            </w:r>
            <w:proofErr w:type="gramStart"/>
            <w:r w:rsidRPr="006A6D2F">
              <w:rPr>
                <w:color w:val="000000"/>
                <w:sz w:val="18"/>
                <w:szCs w:val="18"/>
                <w:lang w:val="en-US"/>
              </w:rPr>
              <w:t>un plan</w:t>
            </w:r>
            <w:proofErr w:type="gramEnd"/>
            <w:r w:rsidRPr="006A6D2F">
              <w:rPr>
                <w:color w:val="000000"/>
                <w:sz w:val="18"/>
                <w:szCs w:val="18"/>
                <w:lang w:val="en-US"/>
              </w:rPr>
              <w:t xml:space="preserve"> de redresare rapidă în vederea respectării </w:t>
            </w:r>
            <w:proofErr w:type="gramStart"/>
            <w:r w:rsidRPr="006A6D2F">
              <w:rPr>
                <w:color w:val="000000"/>
                <w:sz w:val="18"/>
                <w:szCs w:val="18"/>
                <w:lang w:val="en-US"/>
              </w:rPr>
              <w:t>cerințelor;</w:t>
            </w:r>
            <w:proofErr w:type="gramEnd"/>
          </w:p>
          <w:p w14:paraId="13F4251D" w14:textId="562165CB" w:rsidR="006A6D2F" w:rsidRPr="006A6D2F" w:rsidRDefault="006A6D2F" w:rsidP="003456B0">
            <w:pPr>
              <w:shd w:val="clear" w:color="auto" w:fill="FFFFFF"/>
              <w:jc w:val="both"/>
              <w:rPr>
                <w:color w:val="000000"/>
                <w:sz w:val="18"/>
                <w:szCs w:val="18"/>
                <w:lang w:val="en-US"/>
              </w:rPr>
            </w:pPr>
            <w:r w:rsidRPr="006A6D2F">
              <w:rPr>
                <w:color w:val="000000"/>
                <w:sz w:val="18"/>
                <w:szCs w:val="18"/>
                <w:lang w:val="en-US"/>
              </w:rPr>
              <w:t>(b) demonstrează, într-un mod pe care autoritatea competentă îl consideră satisfăcător, că efectul neconformității este nesemnificativ.</w:t>
            </w:r>
          </w:p>
          <w:p w14:paraId="5EDDA836" w14:textId="52AA5897" w:rsidR="006A6D2F" w:rsidRPr="006A6D2F" w:rsidRDefault="006A6D2F" w:rsidP="003456B0">
            <w:pPr>
              <w:jc w:val="both"/>
              <w:rPr>
                <w:sz w:val="18"/>
                <w:szCs w:val="18"/>
                <w:lang w:val="ro-MD" w:eastAsia="en-US"/>
              </w:rPr>
            </w:pPr>
          </w:p>
        </w:tc>
        <w:tc>
          <w:tcPr>
            <w:tcW w:w="4356" w:type="dxa"/>
          </w:tcPr>
          <w:p w14:paraId="25482C93" w14:textId="77777777" w:rsidR="001B376C" w:rsidRPr="008070DB" w:rsidRDefault="001B376C" w:rsidP="00843A5B">
            <w:pPr>
              <w:jc w:val="center"/>
              <w:rPr>
                <w:sz w:val="18"/>
                <w:szCs w:val="18"/>
                <w:lang w:val="ro-MD" w:eastAsia="ro-MD"/>
              </w:rPr>
            </w:pPr>
            <w:r w:rsidRPr="008070DB">
              <w:rPr>
                <w:b/>
                <w:bCs/>
                <w:sz w:val="18"/>
                <w:szCs w:val="18"/>
                <w:lang w:val="ro-MD" w:eastAsia="ro-MD"/>
              </w:rPr>
              <w:lastRenderedPageBreak/>
              <w:t>Capitolul IX</w:t>
            </w:r>
          </w:p>
          <w:p w14:paraId="5CE2C4E4" w14:textId="77777777" w:rsidR="001B376C" w:rsidRPr="008070DB" w:rsidRDefault="001B376C" w:rsidP="00843A5B">
            <w:pPr>
              <w:jc w:val="center"/>
              <w:rPr>
                <w:b/>
                <w:bCs/>
                <w:sz w:val="18"/>
                <w:szCs w:val="18"/>
                <w:lang w:val="ro-MD" w:eastAsia="ro-MD"/>
              </w:rPr>
            </w:pPr>
            <w:r w:rsidRPr="008070DB">
              <w:rPr>
                <w:b/>
                <w:bCs/>
                <w:sz w:val="18"/>
                <w:szCs w:val="18"/>
                <w:lang w:val="ro-MD" w:eastAsia="ro-MD"/>
              </w:rPr>
              <w:t>Metoda modelului intern</w:t>
            </w:r>
          </w:p>
          <w:p w14:paraId="02A83ABB" w14:textId="77777777" w:rsidR="001B376C" w:rsidRPr="008070DB" w:rsidRDefault="001B376C" w:rsidP="00843A5B">
            <w:pPr>
              <w:jc w:val="center"/>
              <w:rPr>
                <w:sz w:val="18"/>
                <w:szCs w:val="18"/>
                <w:lang w:val="ro-MD" w:eastAsia="ro-MD"/>
              </w:rPr>
            </w:pPr>
            <w:r w:rsidRPr="008070DB">
              <w:rPr>
                <w:i/>
                <w:iCs/>
                <w:sz w:val="18"/>
                <w:szCs w:val="18"/>
                <w:lang w:val="ro-MD" w:eastAsia="ro-MD"/>
              </w:rPr>
              <w:t>Secţiunea 1</w:t>
            </w:r>
          </w:p>
          <w:p w14:paraId="0AE1D647" w14:textId="4B8CACFF" w:rsidR="001B376C" w:rsidRPr="008070DB" w:rsidRDefault="00843A5B" w:rsidP="00843A5B">
            <w:pPr>
              <w:jc w:val="center"/>
              <w:rPr>
                <w:b/>
                <w:bCs/>
                <w:sz w:val="18"/>
                <w:szCs w:val="18"/>
                <w:lang w:val="ro-MD" w:eastAsia="ro-MD"/>
              </w:rPr>
            </w:pPr>
            <w:r>
              <w:rPr>
                <w:b/>
                <w:bCs/>
                <w:sz w:val="18"/>
                <w:szCs w:val="18"/>
                <w:lang w:val="ro-MD" w:eastAsia="ro-MD"/>
              </w:rPr>
              <w:t xml:space="preserve">Aprobarea </w:t>
            </w:r>
            <w:r w:rsidR="001B376C" w:rsidRPr="008070DB">
              <w:rPr>
                <w:b/>
                <w:bCs/>
                <w:sz w:val="18"/>
                <w:szCs w:val="18"/>
                <w:lang w:val="ro-MD" w:eastAsia="ro-MD"/>
              </w:rPr>
              <w:t>de utilizare a metodei modelului intern</w:t>
            </w:r>
          </w:p>
          <w:p w14:paraId="14E61A12" w14:textId="77777777" w:rsidR="001B376C" w:rsidRPr="008070DB" w:rsidRDefault="001B376C" w:rsidP="003456B0">
            <w:pPr>
              <w:jc w:val="both"/>
              <w:rPr>
                <w:sz w:val="18"/>
                <w:szCs w:val="18"/>
                <w:lang w:val="ro-MD" w:eastAsia="ro-MD"/>
              </w:rPr>
            </w:pPr>
            <w:r w:rsidRPr="008070DB">
              <w:rPr>
                <w:b/>
                <w:bCs/>
                <w:sz w:val="18"/>
                <w:szCs w:val="18"/>
                <w:lang w:val="ro-MD" w:eastAsia="ro-MD"/>
              </w:rPr>
              <w:t>158.</w:t>
            </w:r>
            <w:r w:rsidRPr="008070DB">
              <w:rPr>
                <w:sz w:val="18"/>
                <w:szCs w:val="18"/>
                <w:lang w:val="ro-MD" w:eastAsia="ro-MD"/>
              </w:rPr>
              <w:t xml:space="preserve"> Dacă Banca Națională a Moldovei consideră că cerinţa prevăzută la </w:t>
            </w:r>
            <w:r w:rsidRPr="008070DB">
              <w:rPr>
                <w:sz w:val="18"/>
                <w:szCs w:val="18"/>
                <w:highlight w:val="lightGray"/>
                <w:lang w:val="ro-MD" w:eastAsia="ro-MD"/>
              </w:rPr>
              <w:t>punctul 161</w:t>
            </w:r>
            <w:r w:rsidRPr="008070DB">
              <w:rPr>
                <w:sz w:val="18"/>
                <w:szCs w:val="18"/>
                <w:lang w:val="ro-MD" w:eastAsia="ro-MD"/>
              </w:rPr>
              <w:t xml:space="preserve"> a fost îndeplinită de bancă, acestea permit băncii respective să utilizeze metoda modelului intern pentru a calcula valoarea expunerii pentru oricare din următoarele tranzacţii:</w:t>
            </w:r>
          </w:p>
          <w:p w14:paraId="5A82D874" w14:textId="77777777" w:rsidR="001B376C" w:rsidRPr="008070DB" w:rsidRDefault="001B376C" w:rsidP="003456B0">
            <w:pPr>
              <w:jc w:val="both"/>
              <w:rPr>
                <w:sz w:val="18"/>
                <w:szCs w:val="18"/>
                <w:lang w:val="ro-MD" w:eastAsia="ro-MD"/>
              </w:rPr>
            </w:pPr>
            <w:r w:rsidRPr="008070DB">
              <w:rPr>
                <w:sz w:val="18"/>
                <w:szCs w:val="18"/>
                <w:lang w:val="ro-MD" w:eastAsia="ro-MD"/>
              </w:rPr>
              <w:t xml:space="preserve">158.1. tranzacţiile menţionate la </w:t>
            </w:r>
            <w:bookmarkStart w:id="24" w:name="_Hlk214526863"/>
            <w:r w:rsidRPr="008070DB">
              <w:rPr>
                <w:sz w:val="18"/>
                <w:szCs w:val="18"/>
                <w:highlight w:val="lightGray"/>
                <w:lang w:val="ro-MD" w:eastAsia="ro-MD"/>
              </w:rPr>
              <w:t>subpunctul 9</w:t>
            </w:r>
            <w:r w:rsidRPr="008070DB">
              <w:rPr>
                <w:sz w:val="18"/>
                <w:szCs w:val="18"/>
                <w:highlight w:val="lightGray"/>
                <w:vertAlign w:val="superscript"/>
                <w:lang w:val="ro-MD" w:eastAsia="ro-MD"/>
              </w:rPr>
              <w:t>1</w:t>
            </w:r>
            <w:r w:rsidRPr="008070DB">
              <w:rPr>
                <w:sz w:val="18"/>
                <w:szCs w:val="18"/>
                <w:highlight w:val="lightGray"/>
                <w:lang w:val="ro-MD" w:eastAsia="ro-MD"/>
              </w:rPr>
              <w:t>.1.</w:t>
            </w:r>
            <w:bookmarkEnd w:id="24"/>
            <w:r w:rsidRPr="008070DB">
              <w:rPr>
                <w:sz w:val="18"/>
                <w:szCs w:val="18"/>
                <w:highlight w:val="lightGray"/>
                <w:lang w:val="ro-MD" w:eastAsia="ro-MD"/>
              </w:rPr>
              <w:t>;</w:t>
            </w:r>
          </w:p>
          <w:p w14:paraId="68B6C65F" w14:textId="77777777" w:rsidR="001B376C" w:rsidRPr="008070DB" w:rsidRDefault="001B376C" w:rsidP="003456B0">
            <w:pPr>
              <w:jc w:val="both"/>
              <w:rPr>
                <w:sz w:val="18"/>
                <w:szCs w:val="18"/>
                <w:lang w:val="ro-MD" w:eastAsia="ro-MD"/>
              </w:rPr>
            </w:pPr>
            <w:r w:rsidRPr="008070DB">
              <w:rPr>
                <w:sz w:val="18"/>
                <w:szCs w:val="18"/>
                <w:lang w:val="ro-MD" w:eastAsia="ro-MD"/>
              </w:rPr>
              <w:t xml:space="preserve">158.2. tranzacţiile menţionate la </w:t>
            </w:r>
            <w:r w:rsidRPr="008070DB">
              <w:rPr>
                <w:sz w:val="18"/>
                <w:szCs w:val="18"/>
                <w:highlight w:val="lightGray"/>
                <w:lang w:val="ro-MD" w:eastAsia="ro-MD"/>
              </w:rPr>
              <w:t>subpunctele 9</w:t>
            </w:r>
            <w:r w:rsidRPr="008070DB">
              <w:rPr>
                <w:sz w:val="18"/>
                <w:szCs w:val="18"/>
                <w:highlight w:val="lightGray"/>
                <w:vertAlign w:val="superscript"/>
                <w:lang w:val="ro-MD" w:eastAsia="ro-MD"/>
              </w:rPr>
              <w:t>1</w:t>
            </w:r>
            <w:r w:rsidRPr="008070DB">
              <w:rPr>
                <w:sz w:val="18"/>
                <w:szCs w:val="18"/>
                <w:highlight w:val="lightGray"/>
                <w:lang w:val="ro-MD" w:eastAsia="ro-MD"/>
              </w:rPr>
              <w:t>.2. – 9</w:t>
            </w:r>
            <w:r w:rsidRPr="008070DB">
              <w:rPr>
                <w:sz w:val="18"/>
                <w:szCs w:val="18"/>
                <w:highlight w:val="lightGray"/>
                <w:vertAlign w:val="superscript"/>
                <w:lang w:val="ro-MD" w:eastAsia="ro-MD"/>
              </w:rPr>
              <w:t>1</w:t>
            </w:r>
            <w:r w:rsidRPr="008070DB">
              <w:rPr>
                <w:sz w:val="18"/>
                <w:szCs w:val="18"/>
                <w:highlight w:val="lightGray"/>
                <w:lang w:val="ro-MD" w:eastAsia="ro-MD"/>
              </w:rPr>
              <w:t>.4.;</w:t>
            </w:r>
            <w:r w:rsidRPr="008070DB">
              <w:rPr>
                <w:sz w:val="18"/>
                <w:szCs w:val="18"/>
                <w:lang w:val="ro-MD" w:eastAsia="ro-MD"/>
              </w:rPr>
              <w:t xml:space="preserve">  </w:t>
            </w:r>
          </w:p>
          <w:p w14:paraId="46E52625" w14:textId="77777777" w:rsidR="001B376C" w:rsidRPr="008070DB" w:rsidRDefault="001B376C" w:rsidP="003456B0">
            <w:pPr>
              <w:jc w:val="both"/>
              <w:rPr>
                <w:sz w:val="18"/>
                <w:szCs w:val="18"/>
                <w:lang w:val="ro-MD" w:eastAsia="ro-MD"/>
              </w:rPr>
            </w:pPr>
            <w:r w:rsidRPr="008070DB">
              <w:rPr>
                <w:sz w:val="18"/>
                <w:szCs w:val="18"/>
                <w:lang w:val="ro-MD" w:eastAsia="ro-MD"/>
              </w:rPr>
              <w:t xml:space="preserve">158.3. tranzacţiile menţionate la </w:t>
            </w:r>
            <w:r w:rsidRPr="008070DB">
              <w:rPr>
                <w:sz w:val="18"/>
                <w:szCs w:val="18"/>
                <w:highlight w:val="lightGray"/>
                <w:lang w:val="ro-MD" w:eastAsia="ro-MD"/>
              </w:rPr>
              <w:t>subpunctele 9</w:t>
            </w:r>
            <w:r w:rsidRPr="008070DB">
              <w:rPr>
                <w:sz w:val="18"/>
                <w:szCs w:val="18"/>
                <w:highlight w:val="lightGray"/>
                <w:vertAlign w:val="superscript"/>
                <w:lang w:val="ro-MD" w:eastAsia="ro-MD"/>
              </w:rPr>
              <w:t>1</w:t>
            </w:r>
            <w:r w:rsidRPr="008070DB">
              <w:rPr>
                <w:sz w:val="18"/>
                <w:szCs w:val="18"/>
                <w:highlight w:val="lightGray"/>
                <w:lang w:val="ro-MD" w:eastAsia="ro-MD"/>
              </w:rPr>
              <w:t>.1. - 9</w:t>
            </w:r>
            <w:r w:rsidRPr="008070DB">
              <w:rPr>
                <w:sz w:val="18"/>
                <w:szCs w:val="18"/>
                <w:highlight w:val="lightGray"/>
                <w:vertAlign w:val="superscript"/>
                <w:lang w:val="ro-MD" w:eastAsia="ro-MD"/>
              </w:rPr>
              <w:t>1</w:t>
            </w:r>
            <w:r w:rsidRPr="008070DB">
              <w:rPr>
                <w:sz w:val="18"/>
                <w:szCs w:val="18"/>
                <w:highlight w:val="lightGray"/>
                <w:lang w:val="ro-MD" w:eastAsia="ro-MD"/>
              </w:rPr>
              <w:t>.4.</w:t>
            </w:r>
          </w:p>
          <w:p w14:paraId="645BE527" w14:textId="7D4AD943" w:rsidR="00843A5B" w:rsidRPr="00843A5B" w:rsidRDefault="001B376C" w:rsidP="00843A5B">
            <w:pPr>
              <w:jc w:val="both"/>
              <w:rPr>
                <w:sz w:val="18"/>
                <w:szCs w:val="18"/>
                <w:lang w:val="ro-MD" w:eastAsia="ro-MD"/>
              </w:rPr>
            </w:pPr>
            <w:r w:rsidRPr="008070DB">
              <w:rPr>
                <w:b/>
                <w:bCs/>
                <w:sz w:val="18"/>
                <w:szCs w:val="18"/>
                <w:lang w:val="ro-MD" w:eastAsia="ro-MD"/>
              </w:rPr>
              <w:t>159.</w:t>
            </w:r>
            <w:r w:rsidRPr="008070DB">
              <w:rPr>
                <w:sz w:val="18"/>
                <w:szCs w:val="18"/>
                <w:lang w:val="ro-MD" w:eastAsia="ro-MD"/>
              </w:rPr>
              <w:t xml:space="preserve"> Dacă banca a primit aprobarea </w:t>
            </w:r>
            <w:r w:rsidR="00843A5B">
              <w:rPr>
                <w:sz w:val="18"/>
                <w:szCs w:val="18"/>
                <w:lang w:val="ro-MD" w:eastAsia="ro-MD"/>
              </w:rPr>
              <w:t xml:space="preserve">conform punctului 25 </w:t>
            </w:r>
            <w:r w:rsidRPr="008070DB">
              <w:rPr>
                <w:sz w:val="18"/>
                <w:szCs w:val="18"/>
                <w:lang w:val="ro-MD" w:eastAsia="ro-MD"/>
              </w:rPr>
              <w:t xml:space="preserve">de a utiliza metoda modelului intern pentru a calcula valoarea expunerii pentru oricare din tranzacţiile menţionate la </w:t>
            </w:r>
            <w:r w:rsidRPr="008070DB">
              <w:rPr>
                <w:sz w:val="18"/>
                <w:szCs w:val="18"/>
                <w:highlight w:val="lightGray"/>
                <w:lang w:val="ro-MD" w:eastAsia="ro-MD"/>
              </w:rPr>
              <w:t>subpunctele 158.1—158.3</w:t>
            </w:r>
            <w:r w:rsidRPr="008070DB">
              <w:rPr>
                <w:sz w:val="18"/>
                <w:szCs w:val="18"/>
                <w:lang w:val="ro-MD" w:eastAsia="ro-MD"/>
              </w:rPr>
              <w:t xml:space="preserve">., aceasta poate, de asemenea, să utilizeze metoda modelului intern pentru tranzacţiile menţionate la </w:t>
            </w:r>
            <w:r w:rsidRPr="008070DB">
              <w:rPr>
                <w:sz w:val="18"/>
                <w:szCs w:val="18"/>
                <w:highlight w:val="lightGray"/>
                <w:lang w:val="ro-MD" w:eastAsia="ro-MD"/>
              </w:rPr>
              <w:t>subpunctul 9</w:t>
            </w:r>
            <w:r w:rsidRPr="008070DB">
              <w:rPr>
                <w:sz w:val="18"/>
                <w:szCs w:val="18"/>
                <w:highlight w:val="lightGray"/>
                <w:vertAlign w:val="superscript"/>
                <w:lang w:val="ro-MD" w:eastAsia="ro-MD"/>
              </w:rPr>
              <w:t>1</w:t>
            </w:r>
            <w:r w:rsidRPr="008070DB">
              <w:rPr>
                <w:sz w:val="18"/>
                <w:szCs w:val="18"/>
                <w:highlight w:val="lightGray"/>
                <w:lang w:val="ro-MD" w:eastAsia="ro-MD"/>
              </w:rPr>
              <w:t>.5.</w:t>
            </w:r>
            <w:r w:rsidR="00843A5B">
              <w:rPr>
                <w:sz w:val="18"/>
                <w:szCs w:val="18"/>
                <w:lang w:val="ro-MD" w:eastAsia="ro-MD"/>
              </w:rPr>
              <w:t xml:space="preserve"> </w:t>
            </w:r>
            <w:bookmarkStart w:id="25" w:name="_Hlk222391119"/>
            <w:r w:rsidR="00843A5B" w:rsidRPr="00843A5B">
              <w:rPr>
                <w:sz w:val="18"/>
                <w:szCs w:val="18"/>
                <w:lang w:val="ro-MD" w:eastAsia="ro-MD"/>
              </w:rPr>
              <w:t>Acordarea și refuzul aprobării prealabile pentru utilizarea metodei modelului intern se efectuează potrivit procedurii prevăzute la punctele 25–33.</w:t>
            </w:r>
            <w:bookmarkEnd w:id="25"/>
          </w:p>
          <w:p w14:paraId="5FF5280A" w14:textId="3472F4B1" w:rsidR="001B376C" w:rsidRPr="00843A5B" w:rsidRDefault="001B376C" w:rsidP="003456B0">
            <w:pPr>
              <w:jc w:val="both"/>
              <w:rPr>
                <w:sz w:val="18"/>
                <w:szCs w:val="18"/>
                <w:lang w:val="ro-MD" w:eastAsia="ro-MD"/>
              </w:rPr>
            </w:pPr>
          </w:p>
          <w:p w14:paraId="5B0DF63A" w14:textId="1484DC8C" w:rsidR="001B376C" w:rsidRPr="008070DB" w:rsidRDefault="001B376C" w:rsidP="003456B0">
            <w:pPr>
              <w:jc w:val="both"/>
              <w:rPr>
                <w:sz w:val="18"/>
                <w:szCs w:val="18"/>
                <w:lang w:val="ro-MD" w:eastAsia="ro-MD"/>
              </w:rPr>
            </w:pPr>
            <w:r w:rsidRPr="008070DB">
              <w:rPr>
                <w:b/>
                <w:bCs/>
                <w:sz w:val="18"/>
                <w:szCs w:val="18"/>
                <w:lang w:val="ro-MD" w:eastAsia="ro-MD"/>
              </w:rPr>
              <w:t>160.</w:t>
            </w:r>
            <w:r w:rsidRPr="008070DB">
              <w:rPr>
                <w:sz w:val="18"/>
                <w:szCs w:val="18"/>
                <w:lang w:val="ro-MD" w:eastAsia="ro-MD"/>
              </w:rPr>
              <w:t xml:space="preserve"> Prin derogare de la </w:t>
            </w:r>
            <w:r w:rsidRPr="008070DB">
              <w:rPr>
                <w:sz w:val="18"/>
                <w:szCs w:val="18"/>
                <w:highlight w:val="lightGray"/>
                <w:lang w:val="ro-MD" w:eastAsia="ro-MD"/>
              </w:rPr>
              <w:t>punctele 8 și 9</w:t>
            </w:r>
            <w:r w:rsidRPr="008070DB">
              <w:rPr>
                <w:sz w:val="18"/>
                <w:szCs w:val="18"/>
                <w:lang w:val="ro-MD" w:eastAsia="ro-MD"/>
              </w:rPr>
              <w:t xml:space="preserve">, banca poate decide să nu aplice această metodă pentru expunerile care sunt nesemnificative în ceea ce privește dimensiunea și riscul. Într-un astfel de caz, banca aplică acestor expuneri una dintre metodele prevăzute </w:t>
            </w:r>
            <w:r w:rsidRPr="008070DB">
              <w:rPr>
                <w:sz w:val="18"/>
                <w:szCs w:val="18"/>
                <w:highlight w:val="lightGray"/>
                <w:lang w:val="ro-MD" w:eastAsia="ro-MD"/>
              </w:rPr>
              <w:t xml:space="preserve">în capitolele </w:t>
            </w:r>
            <w:r w:rsidR="00843A5B">
              <w:rPr>
                <w:sz w:val="18"/>
                <w:szCs w:val="18"/>
                <w:highlight w:val="lightGray"/>
                <w:lang w:val="ro-MD" w:eastAsia="ro-MD"/>
              </w:rPr>
              <w:t>III</w:t>
            </w:r>
            <w:r w:rsidRPr="008070DB">
              <w:rPr>
                <w:sz w:val="18"/>
                <w:szCs w:val="18"/>
                <w:highlight w:val="lightGray"/>
                <w:lang w:val="ro-MD" w:eastAsia="ro-MD"/>
              </w:rPr>
              <w:t>-</w:t>
            </w:r>
            <w:r w:rsidR="00843A5B">
              <w:rPr>
                <w:sz w:val="18"/>
                <w:szCs w:val="18"/>
                <w:lang w:val="ro-MD" w:eastAsia="ro-MD"/>
              </w:rPr>
              <w:t>V</w:t>
            </w:r>
            <w:r w:rsidRPr="008070DB">
              <w:rPr>
                <w:sz w:val="18"/>
                <w:szCs w:val="18"/>
                <w:lang w:val="ro-MD" w:eastAsia="ro-MD"/>
              </w:rPr>
              <w:t>, dacă sunt îndeplinite cerinţele relevante pentru fiecare abordare.</w:t>
            </w:r>
          </w:p>
          <w:p w14:paraId="41ABECCE" w14:textId="77777777" w:rsidR="001B376C" w:rsidRPr="008070DB" w:rsidRDefault="001B376C" w:rsidP="003456B0">
            <w:pPr>
              <w:jc w:val="both"/>
              <w:rPr>
                <w:sz w:val="18"/>
                <w:szCs w:val="18"/>
                <w:lang w:val="ro-MD" w:eastAsia="ro-MD"/>
              </w:rPr>
            </w:pPr>
            <w:r w:rsidRPr="008070DB">
              <w:rPr>
                <w:b/>
                <w:bCs/>
                <w:sz w:val="18"/>
                <w:szCs w:val="18"/>
                <w:lang w:val="ro-MD" w:eastAsia="ro-MD"/>
              </w:rPr>
              <w:t>161.</w:t>
            </w:r>
            <w:r w:rsidRPr="008070DB">
              <w:rPr>
                <w:sz w:val="18"/>
                <w:szCs w:val="18"/>
                <w:lang w:val="ro-MD" w:eastAsia="ro-MD"/>
              </w:rPr>
              <w:t xml:space="preserve"> Banca Națională a Moldovei permite băncii să utilizeze metoda modelului intern pentru calculele menţionate la </w:t>
            </w:r>
            <w:r w:rsidRPr="008070DB">
              <w:rPr>
                <w:sz w:val="18"/>
                <w:szCs w:val="18"/>
                <w:highlight w:val="lightGray"/>
                <w:lang w:val="ro-MD" w:eastAsia="ro-MD"/>
              </w:rPr>
              <w:t>punctele 158-160</w:t>
            </w:r>
            <w:r w:rsidRPr="008070DB">
              <w:rPr>
                <w:sz w:val="18"/>
                <w:szCs w:val="18"/>
                <w:lang w:val="ro-MD" w:eastAsia="ro-MD"/>
              </w:rPr>
              <w:t xml:space="preserve"> numai dacă banca a demonstrat că îndeplinește cerinţele stabilite în </w:t>
            </w:r>
            <w:bookmarkStart w:id="26" w:name="_Hlk214528779"/>
            <w:r w:rsidRPr="008070DB">
              <w:rPr>
                <w:sz w:val="18"/>
                <w:szCs w:val="18"/>
                <w:highlight w:val="lightGray"/>
                <w:lang w:val="ro-MD" w:eastAsia="ro-MD"/>
              </w:rPr>
              <w:t xml:space="preserve">prezentul capitol </w:t>
            </w:r>
            <w:bookmarkEnd w:id="26"/>
            <w:r w:rsidRPr="008070DB">
              <w:rPr>
                <w:sz w:val="18"/>
                <w:szCs w:val="18"/>
                <w:lang w:val="ro-MD" w:eastAsia="ro-MD"/>
              </w:rPr>
              <w:t>și dacă au verificat că sistemele de administrare a riscului de credit al contrapărţii utilizate de bancă sunt solide și sunt implementate în mod adecvat.</w:t>
            </w:r>
          </w:p>
          <w:p w14:paraId="7BA87D97" w14:textId="284C3F85" w:rsidR="001B376C" w:rsidRPr="008070DB" w:rsidRDefault="001B376C" w:rsidP="003456B0">
            <w:pPr>
              <w:jc w:val="both"/>
              <w:rPr>
                <w:sz w:val="18"/>
                <w:szCs w:val="18"/>
                <w:lang w:val="ro-MD" w:eastAsia="ro-MD"/>
              </w:rPr>
            </w:pPr>
            <w:r w:rsidRPr="008070DB">
              <w:rPr>
                <w:b/>
                <w:bCs/>
                <w:sz w:val="18"/>
                <w:szCs w:val="18"/>
                <w:lang w:val="ro-MD" w:eastAsia="ro-MD"/>
              </w:rPr>
              <w:lastRenderedPageBreak/>
              <w:t xml:space="preserve">162. </w:t>
            </w:r>
            <w:r w:rsidRPr="008070DB">
              <w:rPr>
                <w:sz w:val="18"/>
                <w:szCs w:val="18"/>
                <w:lang w:val="ro-MD" w:eastAsia="ro-MD"/>
              </w:rPr>
              <w:t xml:space="preserve">Banca Națională a Moldovei poate permite băncilor, pentru o perioadă limitată, să aplice metoda modelului intern în mod secvenţial pentru diferite tipuri de tranzacţii. În cursul acestei perioade de aplicare secvenţială, băncile pot utiliza metodele prevăzute în </w:t>
            </w:r>
            <w:bookmarkStart w:id="27" w:name="_Hlk214528733"/>
            <w:r w:rsidRPr="008070DB">
              <w:rPr>
                <w:sz w:val="18"/>
                <w:szCs w:val="18"/>
                <w:highlight w:val="lightGray"/>
                <w:lang w:val="ro-MD" w:eastAsia="ro-MD"/>
              </w:rPr>
              <w:t xml:space="preserve">capitolul </w:t>
            </w:r>
            <w:r w:rsidR="00843A5B">
              <w:rPr>
                <w:sz w:val="18"/>
                <w:szCs w:val="18"/>
                <w:lang w:val="ro-MD" w:eastAsia="ro-MD"/>
              </w:rPr>
              <w:t>III</w:t>
            </w:r>
            <w:r w:rsidRPr="008070DB">
              <w:rPr>
                <w:sz w:val="18"/>
                <w:szCs w:val="18"/>
                <w:lang w:val="ro-MD" w:eastAsia="ro-MD"/>
              </w:rPr>
              <w:t xml:space="preserve"> sau în capitolul 5 </w:t>
            </w:r>
            <w:bookmarkEnd w:id="27"/>
            <w:r w:rsidRPr="008070DB">
              <w:rPr>
                <w:sz w:val="18"/>
                <w:szCs w:val="18"/>
                <w:lang w:val="ro-MD" w:eastAsia="ro-MD"/>
              </w:rPr>
              <w:t>pentru tipul de tranzacţie pentru care nu utilizează metoda modelului intern.</w:t>
            </w:r>
          </w:p>
          <w:p w14:paraId="09E6F322" w14:textId="056AC73D" w:rsidR="001B376C" w:rsidRPr="008070DB" w:rsidRDefault="001B376C" w:rsidP="003456B0">
            <w:pPr>
              <w:jc w:val="both"/>
              <w:rPr>
                <w:sz w:val="18"/>
                <w:szCs w:val="18"/>
                <w:lang w:val="ro-MD" w:eastAsia="ro-MD"/>
              </w:rPr>
            </w:pPr>
            <w:r w:rsidRPr="008070DB">
              <w:rPr>
                <w:b/>
                <w:bCs/>
                <w:sz w:val="18"/>
                <w:szCs w:val="18"/>
                <w:lang w:val="ro-MD" w:eastAsia="ro-MD"/>
              </w:rPr>
              <w:t>163.</w:t>
            </w:r>
            <w:r w:rsidRPr="008070DB">
              <w:rPr>
                <w:sz w:val="18"/>
                <w:szCs w:val="18"/>
                <w:lang w:val="ro-MD" w:eastAsia="ro-MD"/>
              </w:rPr>
              <w:t xml:space="preserve"> Pentru toate tranzacţiile cu instrumente financiare derivate extrabursiere și pentru tranzacţiile cu termen lung de decontare pentru care nu a primit, în temeiul </w:t>
            </w:r>
            <w:r w:rsidRPr="008070DB">
              <w:rPr>
                <w:sz w:val="18"/>
                <w:szCs w:val="18"/>
                <w:highlight w:val="lightGray"/>
                <w:lang w:val="ro-MD" w:eastAsia="ro-MD"/>
              </w:rPr>
              <w:t>punctelor 158-160,</w:t>
            </w:r>
            <w:r w:rsidRPr="008070DB">
              <w:rPr>
                <w:sz w:val="18"/>
                <w:szCs w:val="18"/>
                <w:lang w:val="ro-MD" w:eastAsia="ro-MD"/>
              </w:rPr>
              <w:t xml:space="preserve"> aprobarea de a utiliza metoda modelului intern, banca utilizează metodele prevăzute în </w:t>
            </w:r>
            <w:r w:rsidRPr="008070DB">
              <w:rPr>
                <w:sz w:val="18"/>
                <w:szCs w:val="18"/>
                <w:highlight w:val="lightGray"/>
                <w:lang w:val="ro-MD" w:eastAsia="ro-MD"/>
              </w:rPr>
              <w:t xml:space="preserve">capitolul </w:t>
            </w:r>
            <w:r w:rsidR="00843A5B">
              <w:rPr>
                <w:sz w:val="18"/>
                <w:szCs w:val="18"/>
                <w:highlight w:val="lightGray"/>
                <w:lang w:val="ro-MD" w:eastAsia="ro-MD"/>
              </w:rPr>
              <w:t>III</w:t>
            </w:r>
            <w:r w:rsidRPr="008070DB">
              <w:rPr>
                <w:sz w:val="18"/>
                <w:szCs w:val="18"/>
                <w:highlight w:val="lightGray"/>
                <w:lang w:val="ro-MD" w:eastAsia="ro-MD"/>
              </w:rPr>
              <w:t>.</w:t>
            </w:r>
            <w:r w:rsidRPr="008070DB">
              <w:rPr>
                <w:sz w:val="18"/>
                <w:szCs w:val="18"/>
                <w:lang w:val="ro-MD" w:eastAsia="ro-MD"/>
              </w:rPr>
              <w:t xml:space="preserve"> În cadrul unui grup, aceste metode pot fi utilizate în combinaţie în mod permanent. </w:t>
            </w:r>
          </w:p>
          <w:p w14:paraId="7C0A1AC4" w14:textId="7019D544" w:rsidR="001B376C" w:rsidRPr="008070DB" w:rsidRDefault="001B376C" w:rsidP="003456B0">
            <w:pPr>
              <w:jc w:val="both"/>
              <w:rPr>
                <w:sz w:val="18"/>
                <w:szCs w:val="18"/>
                <w:lang w:val="ro-MD" w:eastAsia="ro-MD"/>
              </w:rPr>
            </w:pPr>
            <w:r w:rsidRPr="008070DB">
              <w:rPr>
                <w:b/>
                <w:bCs/>
                <w:sz w:val="18"/>
                <w:szCs w:val="18"/>
                <w:lang w:val="ro-MD" w:eastAsia="ro-MD"/>
              </w:rPr>
              <w:t>164.</w:t>
            </w:r>
            <w:r w:rsidRPr="008070DB">
              <w:rPr>
                <w:sz w:val="18"/>
                <w:szCs w:val="18"/>
                <w:lang w:val="ro-MD" w:eastAsia="ro-MD"/>
              </w:rPr>
              <w:t xml:space="preserve"> Banca care a primit, în temeiul </w:t>
            </w:r>
            <w:r w:rsidRPr="008070DB">
              <w:rPr>
                <w:sz w:val="18"/>
                <w:szCs w:val="18"/>
                <w:highlight w:val="lightGray"/>
                <w:lang w:val="ro-MD" w:eastAsia="ro-MD"/>
              </w:rPr>
              <w:t>punctelor 158-160,</w:t>
            </w:r>
            <w:r w:rsidRPr="008070DB">
              <w:rPr>
                <w:sz w:val="18"/>
                <w:szCs w:val="18"/>
                <w:lang w:val="ro-MD" w:eastAsia="ro-MD"/>
              </w:rPr>
              <w:t xml:space="preserve"> aprobarea de a utiliza metoda modelului intern nu poate reveni la utilizarea metodelor prevăzute în </w:t>
            </w:r>
            <w:r w:rsidRPr="008070DB">
              <w:rPr>
                <w:sz w:val="18"/>
                <w:szCs w:val="18"/>
                <w:highlight w:val="lightGray"/>
                <w:lang w:val="ro-MD" w:eastAsia="ro-MD"/>
              </w:rPr>
              <w:t xml:space="preserve">capitolul </w:t>
            </w:r>
            <w:r w:rsidR="00843A5B">
              <w:rPr>
                <w:sz w:val="18"/>
                <w:szCs w:val="18"/>
                <w:highlight w:val="lightGray"/>
                <w:lang w:val="ro-MD" w:eastAsia="ro-MD"/>
              </w:rPr>
              <w:t>III</w:t>
            </w:r>
            <w:r w:rsidRPr="008070DB">
              <w:rPr>
                <w:sz w:val="18"/>
                <w:szCs w:val="18"/>
                <w:highlight w:val="lightGray"/>
                <w:lang w:val="ro-MD" w:eastAsia="ro-MD"/>
              </w:rPr>
              <w:t xml:space="preserve"> sau în capitolul </w:t>
            </w:r>
            <w:r w:rsidR="00843A5B">
              <w:rPr>
                <w:sz w:val="18"/>
                <w:szCs w:val="18"/>
                <w:highlight w:val="lightGray"/>
                <w:lang w:val="ro-MD" w:eastAsia="ro-MD"/>
              </w:rPr>
              <w:t>V</w:t>
            </w:r>
            <w:r w:rsidRPr="008070DB">
              <w:rPr>
                <w:sz w:val="18"/>
                <w:szCs w:val="18"/>
                <w:highlight w:val="lightGray"/>
                <w:lang w:val="ro-MD" w:eastAsia="ro-MD"/>
              </w:rPr>
              <w:t>,</w:t>
            </w:r>
            <w:r w:rsidRPr="008070DB">
              <w:rPr>
                <w:sz w:val="18"/>
                <w:szCs w:val="18"/>
                <w:lang w:val="ro-MD" w:eastAsia="ro-MD"/>
              </w:rPr>
              <w:t xml:space="preserve"> cu excepţia cazului în care are aprobarea Băncii Naționale a Moldovei de a proceda astfel. Banca Națională a Moldovei acordă această </w:t>
            </w:r>
            <w:r w:rsidR="00843A5B">
              <w:rPr>
                <w:sz w:val="18"/>
                <w:szCs w:val="18"/>
                <w:lang w:val="ro-MD" w:eastAsia="ro-MD"/>
              </w:rPr>
              <w:t>aprobare</w:t>
            </w:r>
            <w:r w:rsidRPr="008070DB">
              <w:rPr>
                <w:sz w:val="18"/>
                <w:szCs w:val="18"/>
                <w:lang w:val="ro-MD" w:eastAsia="ro-MD"/>
              </w:rPr>
              <w:t xml:space="preserve"> dacă bancă face dovadă că are motive întemeiate. </w:t>
            </w:r>
          </w:p>
          <w:p w14:paraId="2AB1D2FB" w14:textId="77777777" w:rsidR="001B376C" w:rsidRPr="008070DB" w:rsidRDefault="001B376C" w:rsidP="003456B0">
            <w:pPr>
              <w:jc w:val="both"/>
              <w:rPr>
                <w:sz w:val="18"/>
                <w:szCs w:val="18"/>
                <w:lang w:val="ro-MD" w:eastAsia="ro-MD"/>
              </w:rPr>
            </w:pPr>
            <w:r w:rsidRPr="008070DB">
              <w:rPr>
                <w:b/>
                <w:bCs/>
                <w:sz w:val="18"/>
                <w:szCs w:val="18"/>
                <w:lang w:val="ro-MD" w:eastAsia="ro-MD"/>
              </w:rPr>
              <w:t>165.</w:t>
            </w:r>
            <w:r w:rsidRPr="008070DB">
              <w:rPr>
                <w:sz w:val="18"/>
                <w:szCs w:val="18"/>
                <w:lang w:val="ro-MD" w:eastAsia="ro-MD"/>
              </w:rPr>
              <w:t xml:space="preserve"> Dacă banca încetează să se conformeze cerinţelor stabilite în </w:t>
            </w:r>
            <w:r w:rsidRPr="008070DB">
              <w:rPr>
                <w:sz w:val="18"/>
                <w:szCs w:val="18"/>
                <w:highlight w:val="lightGray"/>
                <w:lang w:val="ro-MD" w:eastAsia="ro-MD"/>
              </w:rPr>
              <w:t>prezentul capitol,</w:t>
            </w:r>
            <w:r w:rsidRPr="008070DB">
              <w:rPr>
                <w:sz w:val="18"/>
                <w:szCs w:val="18"/>
                <w:lang w:val="ro-MD" w:eastAsia="ro-MD"/>
              </w:rPr>
              <w:t xml:space="preserve"> aceasta notifică Banca Națională a Moldovei și îndeplinește una din următoarele acţiuni: </w:t>
            </w:r>
          </w:p>
          <w:p w14:paraId="02F7B1BE" w14:textId="77777777" w:rsidR="001B376C" w:rsidRPr="008070DB" w:rsidRDefault="001B376C" w:rsidP="003456B0">
            <w:pPr>
              <w:jc w:val="both"/>
              <w:rPr>
                <w:sz w:val="18"/>
                <w:szCs w:val="18"/>
                <w:lang w:val="ro-MD" w:eastAsia="ro-MD"/>
              </w:rPr>
            </w:pPr>
            <w:r w:rsidRPr="008070DB">
              <w:rPr>
                <w:sz w:val="18"/>
                <w:szCs w:val="18"/>
                <w:lang w:val="ro-MD" w:eastAsia="ro-MD"/>
              </w:rPr>
              <w:t xml:space="preserve">165.1. prezintă Băncii Naționale a Moldovei un plan de redresare rapidă în vederea respectării cerinţelor; </w:t>
            </w:r>
          </w:p>
          <w:p w14:paraId="736A6F3B" w14:textId="77777777" w:rsidR="001B376C" w:rsidRPr="008070DB" w:rsidRDefault="001B376C" w:rsidP="003456B0">
            <w:pPr>
              <w:jc w:val="both"/>
              <w:rPr>
                <w:sz w:val="18"/>
                <w:szCs w:val="18"/>
                <w:lang w:val="ro-MD" w:eastAsia="ro-MD"/>
              </w:rPr>
            </w:pPr>
            <w:r w:rsidRPr="008070DB">
              <w:rPr>
                <w:sz w:val="18"/>
                <w:szCs w:val="18"/>
                <w:lang w:val="ro-MD" w:eastAsia="ro-MD"/>
              </w:rPr>
              <w:t>165.2. demonstrează, într-un mod pe care Banca Națională a Moldovei îl consideră satisfăcător, că efectul neconformităţii este nesemnificativ.</w:t>
            </w:r>
          </w:p>
          <w:p w14:paraId="4CFAC720" w14:textId="77777777" w:rsidR="001A4DE8" w:rsidRPr="008070DB" w:rsidRDefault="001A4DE8"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E35B2A3"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7833C9E"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E739717"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C99CA81"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CBA12AB"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5408BDF"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74032C3"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97B92C4"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04BF800" w14:textId="77777777"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88B0F55" w14:textId="0FD8B75B" w:rsidR="001B376C" w:rsidRPr="008070DB" w:rsidRDefault="001B376C" w:rsidP="003456B0">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09D8296B" w14:textId="73ACF36E" w:rsidR="001A4DE8" w:rsidRPr="00A96E09" w:rsidRDefault="001B376C" w:rsidP="00C14AF6">
            <w:pPr>
              <w:jc w:val="both"/>
              <w:rPr>
                <w:sz w:val="18"/>
                <w:szCs w:val="18"/>
                <w:lang w:val="ro-MD"/>
              </w:rPr>
            </w:pPr>
            <w:r>
              <w:rPr>
                <w:sz w:val="18"/>
                <w:szCs w:val="18"/>
                <w:lang w:val="ro-MD"/>
              </w:rPr>
              <w:lastRenderedPageBreak/>
              <w:t>C</w:t>
            </w:r>
            <w:r w:rsidR="001A4DE8" w:rsidRPr="00A96E09">
              <w:rPr>
                <w:sz w:val="18"/>
                <w:szCs w:val="18"/>
                <w:lang w:val="ro-MD"/>
              </w:rPr>
              <w:t>ompatibil</w:t>
            </w:r>
          </w:p>
        </w:tc>
        <w:tc>
          <w:tcPr>
            <w:tcW w:w="4683" w:type="dxa"/>
            <w:tcBorders>
              <w:top w:val="single" w:sz="4" w:space="0" w:color="auto"/>
              <w:bottom w:val="single" w:sz="4" w:space="0" w:color="auto"/>
            </w:tcBorders>
          </w:tcPr>
          <w:p w14:paraId="1E47BDD6" w14:textId="4D03B5C0" w:rsidR="001A4DE8" w:rsidRPr="00A96E09" w:rsidRDefault="001A4DE8" w:rsidP="00C14AF6">
            <w:pPr>
              <w:rPr>
                <w:sz w:val="18"/>
                <w:szCs w:val="18"/>
                <w:lang w:val="ro-MD"/>
              </w:rPr>
            </w:pPr>
          </w:p>
        </w:tc>
      </w:tr>
      <w:tr w:rsidR="00236954" w:rsidRPr="007C0793" w14:paraId="700A46BF" w14:textId="77777777" w:rsidTr="00C14AF6">
        <w:trPr>
          <w:trHeight w:val="918"/>
        </w:trPr>
        <w:tc>
          <w:tcPr>
            <w:tcW w:w="3866" w:type="dxa"/>
          </w:tcPr>
          <w:p w14:paraId="5FC677A8" w14:textId="6ADEFBE3" w:rsidR="00236954" w:rsidRPr="001B376C" w:rsidRDefault="00236954" w:rsidP="003456B0">
            <w:pPr>
              <w:pStyle w:val="title-article-norm"/>
              <w:shd w:val="clear" w:color="auto" w:fill="FFFFFF"/>
              <w:jc w:val="both"/>
              <w:rPr>
                <w:b/>
                <w:bCs/>
                <w:i w:val="0"/>
                <w:iCs w:val="0"/>
                <w:color w:val="000000"/>
                <w:sz w:val="18"/>
                <w:szCs w:val="18"/>
              </w:rPr>
            </w:pPr>
            <w:r w:rsidRPr="001B376C">
              <w:rPr>
                <w:color w:val="000000"/>
                <w:sz w:val="18"/>
                <w:szCs w:val="18"/>
              </w:rPr>
              <w:lastRenderedPageBreak/>
              <w:t>Articolul 284</w:t>
            </w:r>
            <w:r>
              <w:rPr>
                <w:color w:val="000000"/>
                <w:sz w:val="18"/>
                <w:szCs w:val="18"/>
              </w:rPr>
              <w:t xml:space="preserve"> </w:t>
            </w:r>
            <w:r w:rsidRPr="001B376C">
              <w:rPr>
                <w:b/>
                <w:bCs/>
                <w:color w:val="000000"/>
                <w:sz w:val="18"/>
                <w:szCs w:val="18"/>
              </w:rPr>
              <w:t>Valoarea expunerii</w:t>
            </w:r>
          </w:p>
          <w:p w14:paraId="23454EF6" w14:textId="428AB526"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(1) </w:t>
            </w:r>
            <w:r w:rsidRPr="001B376C">
              <w:rPr>
                <w:color w:val="000000"/>
                <w:sz w:val="18"/>
                <w:szCs w:val="18"/>
                <w:lang w:val="en-US"/>
              </w:rPr>
              <w:t>Dacă o instituție a primit, în conformitate cu articolul 283 alineatul (1), aprobarea de a utiliza MMI pentru a calcula valoarea expunerii pentru toate sau numai pentru unele din tranzacțiile menționate la alineatul respectiv, aceasta trebuie să măsoare valoarea expunerii tranzacțiilor respective la nivelul setului de compensare.</w:t>
            </w:r>
          </w:p>
          <w:p w14:paraId="34F3045E" w14:textId="77777777" w:rsidR="00236954" w:rsidRPr="001B376C" w:rsidRDefault="00236954" w:rsidP="003456B0">
            <w:pPr>
              <w:pStyle w:val="norm"/>
              <w:shd w:val="clear" w:color="auto" w:fill="FFFFFF"/>
              <w:rPr>
                <w:color w:val="000000"/>
                <w:sz w:val="18"/>
                <w:szCs w:val="18"/>
              </w:rPr>
            </w:pPr>
            <w:r w:rsidRPr="001B376C">
              <w:rPr>
                <w:color w:val="000000"/>
                <w:sz w:val="18"/>
                <w:szCs w:val="18"/>
              </w:rPr>
              <w:t>Modelul utilizat de instituție în acest scop trebuie:</w:t>
            </w:r>
          </w:p>
          <w:p w14:paraId="68803D63" w14:textId="5E54502A" w:rsidR="00236954" w:rsidRPr="00A21E0D" w:rsidRDefault="00236954" w:rsidP="003456B0">
            <w:pPr>
              <w:shd w:val="clear" w:color="auto" w:fill="FFFFFF"/>
              <w:jc w:val="both"/>
              <w:rPr>
                <w:color w:val="000000"/>
                <w:sz w:val="18"/>
                <w:szCs w:val="18"/>
                <w:lang w:val="en-US"/>
              </w:rPr>
            </w:pPr>
            <w:r w:rsidRPr="001B376C">
              <w:rPr>
                <w:color w:val="000000"/>
                <w:sz w:val="18"/>
                <w:szCs w:val="18"/>
                <w:lang w:val="en-US"/>
              </w:rPr>
              <w:t>(a) </w:t>
            </w:r>
            <w:r w:rsidRPr="00A21E0D">
              <w:rPr>
                <w:color w:val="000000"/>
                <w:sz w:val="18"/>
                <w:szCs w:val="18"/>
                <w:lang w:val="en-US"/>
              </w:rPr>
              <w:t xml:space="preserve">să specifice distribuția previzionată a modificărilor valorii de piață a setului de compensare, care pot fi atribuite modificărilor concomitente ale variabilelor relevante ale pieței, precum ratele dobânzii și cursurile de </w:t>
            </w:r>
            <w:proofErr w:type="gramStart"/>
            <w:r w:rsidRPr="00A21E0D">
              <w:rPr>
                <w:color w:val="000000"/>
                <w:sz w:val="18"/>
                <w:szCs w:val="18"/>
                <w:lang w:val="en-US"/>
              </w:rPr>
              <w:t>schimb;</w:t>
            </w:r>
            <w:proofErr w:type="gramEnd"/>
          </w:p>
          <w:p w14:paraId="500F246D" w14:textId="63944188" w:rsidR="00236954" w:rsidRPr="00A21E0D" w:rsidRDefault="00236954" w:rsidP="003456B0">
            <w:pPr>
              <w:shd w:val="clear" w:color="auto" w:fill="FFFFFF"/>
              <w:jc w:val="both"/>
              <w:rPr>
                <w:color w:val="000000"/>
                <w:sz w:val="18"/>
                <w:szCs w:val="18"/>
                <w:lang w:val="en-US"/>
              </w:rPr>
            </w:pPr>
            <w:r w:rsidRPr="001B376C">
              <w:rPr>
                <w:color w:val="000000"/>
                <w:sz w:val="18"/>
                <w:szCs w:val="18"/>
                <w:lang w:val="en-US"/>
              </w:rPr>
              <w:t>(b) </w:t>
            </w:r>
            <w:r w:rsidRPr="00A21E0D">
              <w:rPr>
                <w:color w:val="000000"/>
                <w:sz w:val="18"/>
                <w:szCs w:val="18"/>
                <w:lang w:val="en-US"/>
              </w:rPr>
              <w:t>să calculeze valoarea expunerii pentru setul de compensare la fiecare dintre datele viitoare, pe baza modificărilor concomitente ale variabilelor pieței.</w:t>
            </w:r>
          </w:p>
          <w:p w14:paraId="2F42D032" w14:textId="46DCDB9E"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(2) </w:t>
            </w:r>
            <w:r>
              <w:rPr>
                <w:rStyle w:val="no-parag"/>
                <w:color w:val="000000"/>
                <w:sz w:val="18"/>
                <w:szCs w:val="18"/>
                <w:lang w:val="en-US"/>
              </w:rPr>
              <w:t>P</w:t>
            </w:r>
            <w:r w:rsidRPr="001B376C">
              <w:rPr>
                <w:color w:val="000000"/>
                <w:sz w:val="18"/>
                <w:szCs w:val="18"/>
                <w:lang w:val="en-US"/>
              </w:rPr>
              <w:t>entru ca modelul să reflecte efectele constituirii marjei, modelul valorii garanției reale trebuie să îndeplinească cerințele cantitative, calitative și privind datele referitoare la MMI, în conformitate cu prezenta secțiune, iar instituția poate să includă în distribuțiile previzionate ale modificărilor valorii de piață a setului de compensare numai garanțiile financiare eligibile definite la articolul 197, la articolul 198 și la articolul 299 alineatul (2) literele (c) și (d).</w:t>
            </w:r>
          </w:p>
          <w:p w14:paraId="15A8BE7C" w14:textId="5FCB086F" w:rsidR="00236954" w:rsidRPr="00A21E0D" w:rsidRDefault="00236954" w:rsidP="003456B0">
            <w:pPr>
              <w:shd w:val="clear" w:color="auto" w:fill="FFFFFF"/>
              <w:jc w:val="both"/>
              <w:rPr>
                <w:color w:val="000000"/>
                <w:sz w:val="18"/>
                <w:szCs w:val="18"/>
                <w:lang w:val="en-US"/>
              </w:rPr>
            </w:pPr>
            <w:r w:rsidRPr="001B376C">
              <w:rPr>
                <w:rStyle w:val="no-parag"/>
                <w:color w:val="000000"/>
                <w:sz w:val="18"/>
                <w:szCs w:val="18"/>
                <w:lang w:val="en-US"/>
              </w:rPr>
              <w:t>(3) </w:t>
            </w:r>
            <w:r w:rsidRPr="00A21E0D">
              <w:rPr>
                <w:color w:val="000000"/>
                <w:sz w:val="18"/>
                <w:szCs w:val="18"/>
                <w:lang w:val="en-US"/>
              </w:rPr>
              <w:t>Cerința de fonduri proprii pentru CCR pentru expunerile la riscul de credit al contrapărții în cazul cărora o instituție aplică MMI trebuie să fie cea mai mare dintre următoarele cerințe:</w:t>
            </w:r>
          </w:p>
          <w:p w14:paraId="75F64E0D" w14:textId="0B0F6F55" w:rsidR="00236954" w:rsidRPr="00A21E0D" w:rsidRDefault="00236954" w:rsidP="003456B0">
            <w:pPr>
              <w:shd w:val="clear" w:color="auto" w:fill="FFFFFF"/>
              <w:jc w:val="both"/>
              <w:rPr>
                <w:color w:val="000000"/>
                <w:sz w:val="18"/>
                <w:szCs w:val="18"/>
                <w:lang w:val="en-US"/>
              </w:rPr>
            </w:pPr>
            <w:r w:rsidRPr="001B376C">
              <w:rPr>
                <w:color w:val="000000"/>
                <w:sz w:val="18"/>
                <w:szCs w:val="18"/>
                <w:lang w:val="en-US"/>
              </w:rPr>
              <w:lastRenderedPageBreak/>
              <w:t>(a) </w:t>
            </w:r>
            <w:r w:rsidRPr="00A21E0D">
              <w:rPr>
                <w:color w:val="000000"/>
                <w:sz w:val="18"/>
                <w:szCs w:val="18"/>
                <w:lang w:val="en-US"/>
              </w:rPr>
              <w:t xml:space="preserve">cerința de fonduri proprii pentru aceste expuneri, calculată pe baza expunerii pozitive așteptate efective, utilizând datele de piață </w:t>
            </w:r>
            <w:proofErr w:type="gramStart"/>
            <w:r w:rsidRPr="00A21E0D">
              <w:rPr>
                <w:color w:val="000000"/>
                <w:sz w:val="18"/>
                <w:szCs w:val="18"/>
                <w:lang w:val="en-US"/>
              </w:rPr>
              <w:t>curente;</w:t>
            </w:r>
            <w:proofErr w:type="gramEnd"/>
          </w:p>
          <w:p w14:paraId="4CD19CE2" w14:textId="6A2EBDA8" w:rsidR="00236954" w:rsidRPr="00A21E0D" w:rsidRDefault="00236954" w:rsidP="003456B0">
            <w:pPr>
              <w:shd w:val="clear" w:color="auto" w:fill="FFFFFF"/>
              <w:jc w:val="both"/>
              <w:rPr>
                <w:color w:val="000000"/>
                <w:sz w:val="18"/>
                <w:szCs w:val="18"/>
                <w:lang w:val="en-US"/>
              </w:rPr>
            </w:pPr>
            <w:r w:rsidRPr="001B376C">
              <w:rPr>
                <w:color w:val="000000"/>
                <w:sz w:val="18"/>
                <w:szCs w:val="18"/>
                <w:lang w:val="en-US"/>
              </w:rPr>
              <w:t>(b) </w:t>
            </w:r>
            <w:r w:rsidRPr="00A21E0D">
              <w:rPr>
                <w:color w:val="000000"/>
                <w:sz w:val="18"/>
                <w:szCs w:val="18"/>
                <w:lang w:val="en-US"/>
              </w:rPr>
              <w:t>cerința de fonduri proprii pentru aceste expuneri, calculată pe baza expunerii pozitive așteptate efective, utilizând în mod consecvent o singură calibrare la condiții de criză (</w:t>
            </w:r>
            <w:r w:rsidRPr="00A21E0D">
              <w:rPr>
                <w:rStyle w:val="italics"/>
                <w:i/>
                <w:iCs/>
                <w:color w:val="000000"/>
                <w:sz w:val="18"/>
                <w:szCs w:val="18"/>
                <w:lang w:val="en-US"/>
              </w:rPr>
              <w:t>stress calibration</w:t>
            </w:r>
            <w:r w:rsidRPr="00A21E0D">
              <w:rPr>
                <w:color w:val="000000"/>
                <w:sz w:val="18"/>
                <w:szCs w:val="18"/>
                <w:lang w:val="en-US"/>
              </w:rPr>
              <w:t>) pentru toate expunerile la riscul de credit al contrapărții în cazul cărora instituția aplică MMI.</w:t>
            </w:r>
          </w:p>
          <w:p w14:paraId="5ECB0974" w14:textId="3F0F54F8" w:rsidR="00236954" w:rsidRPr="00A21E0D" w:rsidRDefault="00236954" w:rsidP="003456B0">
            <w:pPr>
              <w:shd w:val="clear" w:color="auto" w:fill="FFFFFF"/>
              <w:jc w:val="both"/>
              <w:rPr>
                <w:color w:val="000000"/>
                <w:sz w:val="18"/>
                <w:szCs w:val="18"/>
                <w:lang w:val="en-US"/>
              </w:rPr>
            </w:pPr>
            <w:r w:rsidRPr="001B376C">
              <w:rPr>
                <w:rStyle w:val="no-parag"/>
                <w:color w:val="000000"/>
                <w:sz w:val="18"/>
                <w:szCs w:val="18"/>
                <w:lang w:val="en-US"/>
              </w:rPr>
              <w:t>(4) </w:t>
            </w:r>
            <w:r w:rsidRPr="00A21E0D">
              <w:rPr>
                <w:color w:val="000000"/>
                <w:sz w:val="18"/>
                <w:szCs w:val="18"/>
                <w:lang w:val="en-US"/>
              </w:rPr>
              <w:t>Cu excepția contrapărților identificate ca având un risc de corelare defavorabilă (</w:t>
            </w:r>
            <w:r w:rsidRPr="00A21E0D">
              <w:rPr>
                <w:rStyle w:val="italics"/>
                <w:i/>
                <w:iCs/>
                <w:color w:val="000000"/>
                <w:sz w:val="18"/>
                <w:szCs w:val="18"/>
                <w:lang w:val="en-US"/>
              </w:rPr>
              <w:t>Wrong-Way Risk</w:t>
            </w:r>
            <w:r w:rsidRPr="00A21E0D">
              <w:rPr>
                <w:color w:val="000000"/>
                <w:sz w:val="18"/>
                <w:szCs w:val="18"/>
                <w:lang w:val="en-US"/>
              </w:rPr>
              <w:t>) specific, care se încadrează în domeniul de aplicare al articolului 291 alineatele (4) și (5), instituțiile trebuie să calculeze valoarea expunerii ca produs dintre alfa (</w:t>
            </w:r>
            <w:r w:rsidRPr="001B376C">
              <w:rPr>
                <w:color w:val="000000"/>
                <w:sz w:val="18"/>
                <w:szCs w:val="18"/>
              </w:rPr>
              <w:t>α</w:t>
            </w:r>
            <w:r w:rsidRPr="00A21E0D">
              <w:rPr>
                <w:color w:val="000000"/>
                <w:sz w:val="18"/>
                <w:szCs w:val="18"/>
                <w:lang w:val="en-US"/>
              </w:rPr>
              <w:t>) și expunerea pozitivă așteptată efectivă, după cum urmează:</w:t>
            </w:r>
          </w:p>
          <w:p w14:paraId="2E369AD5" w14:textId="77777777" w:rsidR="00236954" w:rsidRPr="001B376C" w:rsidRDefault="00236954" w:rsidP="003456B0">
            <w:pPr>
              <w:pStyle w:val="norm"/>
              <w:shd w:val="clear" w:color="auto" w:fill="FFFFFF"/>
              <w:rPr>
                <w:color w:val="000000"/>
                <w:sz w:val="18"/>
                <w:szCs w:val="18"/>
              </w:rPr>
            </w:pPr>
            <w:r w:rsidRPr="001B376C">
              <w:rPr>
                <w:rStyle w:val="italics"/>
                <w:i/>
                <w:iCs/>
                <w:color w:val="000000"/>
                <w:sz w:val="18"/>
                <w:szCs w:val="18"/>
              </w:rPr>
              <w:t>Valoarea expunerii = α · expunerea pozitivă așteptată efectivă</w:t>
            </w:r>
          </w:p>
          <w:p w14:paraId="7FDEA23C" w14:textId="77777777" w:rsidR="00236954" w:rsidRPr="001B376C" w:rsidRDefault="00236954" w:rsidP="003456B0">
            <w:pPr>
              <w:pStyle w:val="norm"/>
              <w:shd w:val="clear" w:color="auto" w:fill="FFFFFF"/>
              <w:rPr>
                <w:color w:val="000000"/>
                <w:sz w:val="18"/>
                <w:szCs w:val="18"/>
              </w:rPr>
            </w:pPr>
            <w:r w:rsidRPr="001B376C">
              <w:rPr>
                <w:color w:val="000000"/>
                <w:sz w:val="18"/>
                <w:szCs w:val="18"/>
              </w:rPr>
              <w:t>unde:</w:t>
            </w:r>
          </w:p>
          <w:tbl>
            <w:tblPr>
              <w:tblW w:w="5000" w:type="pct"/>
              <w:tblLayout w:type="fixed"/>
              <w:tblCellMar>
                <w:left w:w="0" w:type="dxa"/>
                <w:right w:w="0" w:type="dxa"/>
              </w:tblCellMar>
              <w:tblLook w:val="04A0" w:firstRow="1" w:lastRow="0" w:firstColumn="1" w:lastColumn="0" w:noHBand="0" w:noVBand="1"/>
            </w:tblPr>
            <w:tblGrid>
              <w:gridCol w:w="64"/>
              <w:gridCol w:w="62"/>
              <w:gridCol w:w="3524"/>
            </w:tblGrid>
            <w:tr w:rsidR="00236954" w:rsidRPr="00EB7E01" w14:paraId="0080AFE2" w14:textId="77777777" w:rsidTr="001B376C">
              <w:tc>
                <w:tcPr>
                  <w:tcW w:w="138" w:type="dxa"/>
                  <w:hideMark/>
                </w:tcPr>
                <w:p w14:paraId="1B02D53B" w14:textId="77777777" w:rsidR="00236954" w:rsidRPr="001B376C" w:rsidRDefault="00236954" w:rsidP="00EB7E01">
                  <w:pPr>
                    <w:pStyle w:val="norm"/>
                    <w:framePr w:hSpace="180" w:wrap="around" w:vAnchor="text" w:hAnchor="text" w:y="1"/>
                    <w:suppressOverlap/>
                    <w:rPr>
                      <w:sz w:val="18"/>
                      <w:szCs w:val="18"/>
                    </w:rPr>
                  </w:pPr>
                  <w:r w:rsidRPr="001B376C">
                    <w:rPr>
                      <w:sz w:val="18"/>
                      <w:szCs w:val="18"/>
                    </w:rPr>
                    <w:t>α</w:t>
                  </w:r>
                </w:p>
              </w:tc>
              <w:tc>
                <w:tcPr>
                  <w:tcW w:w="133" w:type="dxa"/>
                  <w:hideMark/>
                </w:tcPr>
                <w:p w14:paraId="56BAEE9B" w14:textId="77777777" w:rsidR="00236954" w:rsidRPr="001B376C" w:rsidRDefault="00236954" w:rsidP="00EB7E01">
                  <w:pPr>
                    <w:pStyle w:val="norm"/>
                    <w:framePr w:hSpace="180" w:wrap="around" w:vAnchor="text" w:hAnchor="text" w:y="1"/>
                    <w:suppressOverlap/>
                    <w:rPr>
                      <w:sz w:val="18"/>
                      <w:szCs w:val="18"/>
                    </w:rPr>
                  </w:pPr>
                  <w:r w:rsidRPr="001B376C">
                    <w:rPr>
                      <w:sz w:val="18"/>
                      <w:szCs w:val="18"/>
                    </w:rPr>
                    <w:t>=</w:t>
                  </w:r>
                </w:p>
              </w:tc>
              <w:tc>
                <w:tcPr>
                  <w:tcW w:w="9418" w:type="dxa"/>
                  <w:hideMark/>
                </w:tcPr>
                <w:p w14:paraId="5C6096A9" w14:textId="77777777" w:rsidR="00236954" w:rsidRPr="001B376C" w:rsidRDefault="00236954" w:rsidP="00EB7E01">
                  <w:pPr>
                    <w:pStyle w:val="norm"/>
                    <w:framePr w:hSpace="180" w:wrap="around" w:vAnchor="text" w:hAnchor="text" w:y="1"/>
                    <w:suppressOverlap/>
                    <w:rPr>
                      <w:sz w:val="18"/>
                      <w:szCs w:val="18"/>
                    </w:rPr>
                  </w:pPr>
                  <w:r w:rsidRPr="001B376C">
                    <w:rPr>
                      <w:sz w:val="18"/>
                      <w:szCs w:val="18"/>
                    </w:rPr>
                    <w:t>1,4, cu excepția cazului în care autoritățile competente solicită o valoare α mai mare sau permit instituțiilor să utilizeze estimările proprii în conformitate cu alineatul (9);</w:t>
                  </w:r>
                </w:p>
              </w:tc>
            </w:tr>
          </w:tbl>
          <w:p w14:paraId="63E82673" w14:textId="77777777" w:rsidR="00236954" w:rsidRPr="001B376C" w:rsidRDefault="00236954" w:rsidP="003456B0">
            <w:pPr>
              <w:pStyle w:val="norm"/>
              <w:shd w:val="clear" w:color="auto" w:fill="FFFFFF"/>
              <w:rPr>
                <w:color w:val="000000"/>
                <w:sz w:val="18"/>
                <w:szCs w:val="18"/>
              </w:rPr>
            </w:pPr>
            <w:r w:rsidRPr="001B376C">
              <w:rPr>
                <w:color w:val="000000"/>
                <w:sz w:val="18"/>
                <w:szCs w:val="18"/>
              </w:rPr>
              <w:t>Expunerea pozitivă așteptată efectivă se calculează prin estimarea expunerii așteptate (EE</w:t>
            </w:r>
            <w:r w:rsidRPr="001B376C">
              <w:rPr>
                <w:rStyle w:val="subscript"/>
                <w:color w:val="000000"/>
                <w:sz w:val="18"/>
                <w:szCs w:val="18"/>
                <w:vertAlign w:val="subscript"/>
              </w:rPr>
              <w:t>t</w:t>
            </w:r>
            <w:r w:rsidRPr="001B376C">
              <w:rPr>
                <w:color w:val="000000"/>
                <w:sz w:val="18"/>
                <w:szCs w:val="18"/>
              </w:rPr>
              <w:t>) ca expunere medie la o dată viitoare t, media fiind determinată pe baza valorilor viitoare posibile ale factorilor de risc de piață relevanți.</w:t>
            </w:r>
          </w:p>
          <w:p w14:paraId="5C17F034" w14:textId="77777777" w:rsidR="00236954" w:rsidRPr="001B376C" w:rsidRDefault="00236954" w:rsidP="003456B0">
            <w:pPr>
              <w:pStyle w:val="norm"/>
              <w:shd w:val="clear" w:color="auto" w:fill="FFFFFF"/>
              <w:rPr>
                <w:color w:val="000000"/>
                <w:sz w:val="18"/>
                <w:szCs w:val="18"/>
              </w:rPr>
            </w:pPr>
            <w:r w:rsidRPr="001B376C">
              <w:rPr>
                <w:color w:val="000000"/>
                <w:sz w:val="18"/>
                <w:szCs w:val="18"/>
              </w:rPr>
              <w:t>Modelul estimează expunerea așteptată la o serie de date viitoare t</w:t>
            </w:r>
            <w:r w:rsidRPr="001B376C">
              <w:rPr>
                <w:rStyle w:val="subscript"/>
                <w:color w:val="000000"/>
                <w:sz w:val="18"/>
                <w:szCs w:val="18"/>
                <w:vertAlign w:val="subscript"/>
              </w:rPr>
              <w:t>1</w:t>
            </w:r>
            <w:r w:rsidRPr="001B376C">
              <w:rPr>
                <w:color w:val="000000"/>
                <w:sz w:val="18"/>
                <w:szCs w:val="18"/>
              </w:rPr>
              <w:t>, t</w:t>
            </w:r>
            <w:r w:rsidRPr="001B376C">
              <w:rPr>
                <w:rStyle w:val="subscript"/>
                <w:color w:val="000000"/>
                <w:sz w:val="18"/>
                <w:szCs w:val="18"/>
                <w:vertAlign w:val="subscript"/>
              </w:rPr>
              <w:t>2</w:t>
            </w:r>
            <w:r w:rsidRPr="001B376C">
              <w:rPr>
                <w:color w:val="000000"/>
                <w:sz w:val="18"/>
                <w:szCs w:val="18"/>
              </w:rPr>
              <w:t>, t</w:t>
            </w:r>
            <w:r w:rsidRPr="001B376C">
              <w:rPr>
                <w:rStyle w:val="subscript"/>
                <w:color w:val="000000"/>
                <w:sz w:val="18"/>
                <w:szCs w:val="18"/>
                <w:vertAlign w:val="subscript"/>
              </w:rPr>
              <w:t>3</w:t>
            </w:r>
            <w:r w:rsidRPr="001B376C">
              <w:rPr>
                <w:color w:val="000000"/>
                <w:sz w:val="18"/>
                <w:szCs w:val="18"/>
              </w:rPr>
              <w:t> etc.</w:t>
            </w:r>
          </w:p>
          <w:p w14:paraId="107133C7" w14:textId="4A3B78F2" w:rsidR="00236954" w:rsidRPr="00A21E0D" w:rsidRDefault="00236954" w:rsidP="003456B0">
            <w:pPr>
              <w:shd w:val="clear" w:color="auto" w:fill="FFFFFF"/>
              <w:jc w:val="both"/>
              <w:rPr>
                <w:color w:val="000000"/>
                <w:sz w:val="18"/>
                <w:szCs w:val="18"/>
                <w:lang w:val="en-US"/>
              </w:rPr>
            </w:pPr>
            <w:r w:rsidRPr="001B376C">
              <w:rPr>
                <w:rStyle w:val="no-parag"/>
                <w:color w:val="000000"/>
                <w:sz w:val="18"/>
                <w:szCs w:val="18"/>
                <w:lang w:val="en-US"/>
              </w:rPr>
              <w:t>(5)  </w:t>
            </w:r>
            <w:r w:rsidRPr="001B376C">
              <w:rPr>
                <w:color w:val="000000"/>
                <w:sz w:val="18"/>
                <w:szCs w:val="18"/>
                <w:lang w:val="en-US"/>
              </w:rPr>
              <w:t> </w:t>
            </w:r>
            <w:r w:rsidRPr="00A21E0D">
              <w:rPr>
                <w:color w:val="000000"/>
                <w:sz w:val="18"/>
                <w:szCs w:val="18"/>
                <w:lang w:val="en-US"/>
              </w:rPr>
              <w:t>Expunerea așteptată (EE) efectivă se calculează prin recurență după cum urmează:</w:t>
            </w:r>
          </w:p>
          <w:p w14:paraId="61DC0905" w14:textId="344FE752" w:rsidR="00236954" w:rsidRPr="001B376C" w:rsidRDefault="00236954" w:rsidP="003456B0">
            <w:pPr>
              <w:pStyle w:val="container-center"/>
              <w:shd w:val="clear" w:color="auto" w:fill="FFFFFF"/>
              <w:spacing w:before="0" w:beforeAutospacing="0" w:after="150" w:afterAutospacing="0"/>
              <w:jc w:val="both"/>
              <w:rPr>
                <w:color w:val="000000"/>
                <w:sz w:val="18"/>
                <w:szCs w:val="18"/>
              </w:rPr>
            </w:pPr>
            <w:r w:rsidRPr="001B376C">
              <w:rPr>
                <w:noProof/>
                <w:color w:val="000000"/>
                <w:sz w:val="18"/>
                <w:szCs w:val="18"/>
              </w:rPr>
              <w:drawing>
                <wp:inline distT="0" distB="0" distL="0" distR="0" wp14:anchorId="32E045AD" wp14:editId="3F2B5CE2">
                  <wp:extent cx="2275368" cy="90391"/>
                  <wp:effectExtent l="0" t="0" r="0" b="5080"/>
                  <wp:docPr id="30"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993988" cy="118939"/>
                          </a:xfrm>
                          <a:prstGeom prst="rect">
                            <a:avLst/>
                          </a:prstGeom>
                          <a:noFill/>
                          <a:ln>
                            <a:noFill/>
                          </a:ln>
                        </pic:spPr>
                      </pic:pic>
                    </a:graphicData>
                  </a:graphic>
                </wp:inline>
              </w:drawing>
            </w:r>
          </w:p>
          <w:p w14:paraId="5152F9B4" w14:textId="77777777" w:rsidR="00236954" w:rsidRPr="001B376C" w:rsidRDefault="00236954" w:rsidP="003456B0">
            <w:pPr>
              <w:pStyle w:val="norm"/>
              <w:shd w:val="clear" w:color="auto" w:fill="FFFFFF"/>
              <w:rPr>
                <w:color w:val="000000"/>
                <w:sz w:val="18"/>
                <w:szCs w:val="18"/>
              </w:rPr>
            </w:pPr>
            <w:r w:rsidRPr="001B376C">
              <w:rPr>
                <w:color w:val="000000"/>
                <w:sz w:val="18"/>
                <w:szCs w:val="18"/>
              </w:rPr>
              <w:t>unde:</w:t>
            </w:r>
          </w:p>
          <w:p w14:paraId="77425603" w14:textId="77777777" w:rsidR="00236954" w:rsidRPr="001B376C" w:rsidRDefault="00236954" w:rsidP="003456B0">
            <w:pPr>
              <w:shd w:val="clear" w:color="auto" w:fill="FFFFFF"/>
              <w:jc w:val="both"/>
              <w:rPr>
                <w:color w:val="000000"/>
                <w:sz w:val="18"/>
                <w:szCs w:val="18"/>
                <w:lang w:val="en-US"/>
              </w:rPr>
            </w:pPr>
            <w:r w:rsidRPr="001B376C">
              <w:rPr>
                <w:color w:val="000000"/>
                <w:sz w:val="18"/>
                <w:szCs w:val="18"/>
                <w:lang w:val="en-US"/>
              </w:rPr>
              <w:t xml:space="preserve">data curentă este </w:t>
            </w:r>
            <w:proofErr w:type="gramStart"/>
            <w:r w:rsidRPr="001B376C">
              <w:rPr>
                <w:color w:val="000000"/>
                <w:sz w:val="18"/>
                <w:szCs w:val="18"/>
                <w:lang w:val="en-US"/>
              </w:rPr>
              <w:t>t</w:t>
            </w:r>
            <w:r w:rsidRPr="001B376C">
              <w:rPr>
                <w:rStyle w:val="subscript"/>
                <w:color w:val="000000"/>
                <w:sz w:val="18"/>
                <w:szCs w:val="18"/>
                <w:vertAlign w:val="subscript"/>
                <w:lang w:val="en-US"/>
              </w:rPr>
              <w:t>0</w:t>
            </w:r>
            <w:r w:rsidRPr="001B376C">
              <w:rPr>
                <w:color w:val="000000"/>
                <w:sz w:val="18"/>
                <w:szCs w:val="18"/>
                <w:lang w:val="en-US"/>
              </w:rPr>
              <w:t>;</w:t>
            </w:r>
            <w:proofErr w:type="gramEnd"/>
          </w:p>
          <w:p w14:paraId="46EAB94F" w14:textId="77777777" w:rsidR="00236954" w:rsidRPr="001B376C" w:rsidRDefault="00236954" w:rsidP="003456B0">
            <w:pPr>
              <w:shd w:val="clear" w:color="auto" w:fill="FFFFFF"/>
              <w:jc w:val="both"/>
              <w:rPr>
                <w:color w:val="000000"/>
                <w:sz w:val="18"/>
                <w:szCs w:val="18"/>
                <w:lang w:val="en-US"/>
              </w:rPr>
            </w:pPr>
            <w:r w:rsidRPr="001B376C">
              <w:rPr>
                <w:color w:val="000000"/>
                <w:sz w:val="18"/>
                <w:szCs w:val="18"/>
                <w:lang w:val="en-US"/>
              </w:rPr>
              <w:lastRenderedPageBreak/>
              <w:t>EEt</w:t>
            </w:r>
            <w:r w:rsidRPr="001B376C">
              <w:rPr>
                <w:rStyle w:val="subscript"/>
                <w:color w:val="000000"/>
                <w:sz w:val="18"/>
                <w:szCs w:val="18"/>
                <w:vertAlign w:val="subscript"/>
                <w:lang w:val="en-US"/>
              </w:rPr>
              <w:t>0</w:t>
            </w:r>
            <w:r w:rsidRPr="001B376C">
              <w:rPr>
                <w:color w:val="000000"/>
                <w:sz w:val="18"/>
                <w:szCs w:val="18"/>
                <w:lang w:val="en-US"/>
              </w:rPr>
              <w:t> efectivă este egală cu expunerea curentă.</w:t>
            </w:r>
          </w:p>
          <w:p w14:paraId="7588A38A" w14:textId="30281EAF" w:rsidR="00236954" w:rsidRDefault="00236954" w:rsidP="003456B0">
            <w:pPr>
              <w:shd w:val="clear" w:color="auto" w:fill="FFFFFF"/>
              <w:jc w:val="both"/>
              <w:rPr>
                <w:color w:val="000000"/>
                <w:sz w:val="18"/>
                <w:szCs w:val="18"/>
                <w:lang w:val="ro-MD"/>
              </w:rPr>
            </w:pPr>
            <w:r w:rsidRPr="001B376C">
              <w:rPr>
                <w:rStyle w:val="no-parag"/>
                <w:color w:val="000000"/>
                <w:sz w:val="18"/>
                <w:szCs w:val="18"/>
                <w:lang w:val="en-US"/>
              </w:rPr>
              <w:t>(6) </w:t>
            </w:r>
            <w:r w:rsidRPr="00A21E0D">
              <w:rPr>
                <w:color w:val="000000"/>
                <w:sz w:val="18"/>
                <w:szCs w:val="18"/>
                <w:lang w:val="en-US"/>
              </w:rPr>
              <w:t xml:space="preserve">Expunerea pozitivă așteptată efectivă este expunerea așteptată efectivă medie pe durata primului an al expunerii viitoare. </w:t>
            </w:r>
            <w:r w:rsidRPr="00471B8A">
              <w:rPr>
                <w:color w:val="000000"/>
                <w:sz w:val="18"/>
                <w:szCs w:val="18"/>
                <w:lang w:val="en-US"/>
              </w:rPr>
              <w:t xml:space="preserve">Dacă toate contractele din setul de compensare ajung la scadență în mai puțin de un an, expunerea pozitivă așteptată este expunerea așteptată medie până la data la care toate contractele din setul de compensare ajung la scadență. Expunerea pozitivă așteptată efectivă se calculează ca medie ponderată </w:t>
            </w:r>
            <w:proofErr w:type="gramStart"/>
            <w:r w:rsidRPr="00471B8A">
              <w:rPr>
                <w:color w:val="000000"/>
                <w:sz w:val="18"/>
                <w:szCs w:val="18"/>
                <w:lang w:val="en-US"/>
              </w:rPr>
              <w:t>a</w:t>
            </w:r>
            <w:proofErr w:type="gramEnd"/>
            <w:r w:rsidRPr="00471B8A">
              <w:rPr>
                <w:color w:val="000000"/>
                <w:sz w:val="18"/>
                <w:szCs w:val="18"/>
                <w:lang w:val="en-US"/>
              </w:rPr>
              <w:t xml:space="preserve"> expunerilor așteptate efective:</w:t>
            </w:r>
          </w:p>
          <w:p w14:paraId="10037705" w14:textId="77777777" w:rsidR="00236954" w:rsidRPr="00A21E0D" w:rsidRDefault="00236954" w:rsidP="003456B0">
            <w:pPr>
              <w:shd w:val="clear" w:color="auto" w:fill="FFFFFF"/>
              <w:jc w:val="both"/>
              <w:rPr>
                <w:color w:val="000000"/>
                <w:sz w:val="18"/>
                <w:szCs w:val="18"/>
                <w:lang w:val="ro-MD"/>
              </w:rPr>
            </w:pPr>
          </w:p>
          <w:p w14:paraId="3ACED12B" w14:textId="5A581121" w:rsidR="00236954" w:rsidRPr="00A21E0D" w:rsidRDefault="00236954" w:rsidP="003456B0">
            <w:pPr>
              <w:pStyle w:val="container-center"/>
              <w:shd w:val="clear" w:color="auto" w:fill="FFFFFF"/>
              <w:spacing w:before="0" w:beforeAutospacing="0" w:after="150" w:afterAutospacing="0"/>
              <w:jc w:val="both"/>
              <w:rPr>
                <w:color w:val="000000"/>
                <w:sz w:val="18"/>
                <w:szCs w:val="18"/>
              </w:rPr>
            </w:pPr>
            <w:r w:rsidRPr="001B376C">
              <w:rPr>
                <w:noProof/>
                <w:color w:val="000000"/>
                <w:sz w:val="18"/>
                <w:szCs w:val="18"/>
              </w:rPr>
              <w:drawing>
                <wp:inline distT="0" distB="0" distL="0" distR="0" wp14:anchorId="60DDC806" wp14:editId="5D0C627E">
                  <wp:extent cx="2317750" cy="169545"/>
                  <wp:effectExtent l="0" t="0" r="6350" b="1905"/>
                  <wp:docPr id="2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317750" cy="169545"/>
                          </a:xfrm>
                          <a:prstGeom prst="rect">
                            <a:avLst/>
                          </a:prstGeom>
                          <a:noFill/>
                          <a:ln>
                            <a:noFill/>
                          </a:ln>
                        </pic:spPr>
                      </pic:pic>
                    </a:graphicData>
                  </a:graphic>
                </wp:inline>
              </w:drawing>
            </w:r>
          </w:p>
          <w:p w14:paraId="2B3B1EE9" w14:textId="77777777" w:rsidR="00236954" w:rsidRPr="001B376C" w:rsidRDefault="00236954" w:rsidP="003456B0">
            <w:pPr>
              <w:shd w:val="clear" w:color="auto" w:fill="FFFFFF"/>
              <w:jc w:val="both"/>
              <w:rPr>
                <w:color w:val="000000"/>
                <w:sz w:val="18"/>
                <w:szCs w:val="18"/>
              </w:rPr>
            </w:pPr>
            <w:r w:rsidRPr="001B376C">
              <w:rPr>
                <w:color w:val="000000"/>
                <w:sz w:val="18"/>
                <w:szCs w:val="18"/>
              </w:rPr>
              <w:t>unde ponderile</w:t>
            </w:r>
          </w:p>
          <w:p w14:paraId="161DA4A4" w14:textId="41A76B14" w:rsidR="00236954" w:rsidRPr="001B376C" w:rsidRDefault="00236954" w:rsidP="003456B0">
            <w:pPr>
              <w:pStyle w:val="container-center"/>
              <w:shd w:val="clear" w:color="auto" w:fill="FFFFFF"/>
              <w:spacing w:before="0" w:beforeAutospacing="0" w:after="150" w:afterAutospacing="0"/>
              <w:jc w:val="both"/>
              <w:rPr>
                <w:color w:val="000000"/>
                <w:sz w:val="18"/>
                <w:szCs w:val="18"/>
              </w:rPr>
            </w:pPr>
            <w:r w:rsidRPr="001B376C">
              <w:rPr>
                <w:noProof/>
                <w:color w:val="000000"/>
                <w:sz w:val="18"/>
                <w:szCs w:val="18"/>
              </w:rPr>
              <w:drawing>
                <wp:inline distT="0" distB="0" distL="0" distR="0" wp14:anchorId="374F87A4" wp14:editId="34BF15B9">
                  <wp:extent cx="850605" cy="150544"/>
                  <wp:effectExtent l="0" t="0" r="6985" b="1905"/>
                  <wp:docPr id="28"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888987" cy="157337"/>
                          </a:xfrm>
                          <a:prstGeom prst="rect">
                            <a:avLst/>
                          </a:prstGeom>
                          <a:noFill/>
                          <a:ln>
                            <a:noFill/>
                          </a:ln>
                        </pic:spPr>
                      </pic:pic>
                    </a:graphicData>
                  </a:graphic>
                </wp:inline>
              </w:drawing>
            </w:r>
          </w:p>
          <w:p w14:paraId="0A41F2CF" w14:textId="77777777" w:rsidR="00236954" w:rsidRPr="001B376C" w:rsidRDefault="00236954" w:rsidP="003456B0">
            <w:pPr>
              <w:shd w:val="clear" w:color="auto" w:fill="FFFFFF"/>
              <w:jc w:val="both"/>
              <w:rPr>
                <w:color w:val="000000"/>
                <w:sz w:val="18"/>
                <w:szCs w:val="18"/>
                <w:lang w:val="en-US"/>
              </w:rPr>
            </w:pPr>
            <w:r w:rsidRPr="001B376C">
              <w:rPr>
                <w:color w:val="000000"/>
                <w:sz w:val="18"/>
                <w:szCs w:val="18"/>
                <w:lang w:val="en-US"/>
              </w:rPr>
              <w:t>permit calculul expunerii viitoare la date care nu sunt egal repartizate în timp.</w:t>
            </w:r>
          </w:p>
          <w:p w14:paraId="44E60035" w14:textId="16E903FF"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(7) </w:t>
            </w:r>
            <w:r w:rsidRPr="001B376C">
              <w:rPr>
                <w:color w:val="000000"/>
                <w:sz w:val="18"/>
                <w:szCs w:val="18"/>
                <w:lang w:val="en-US"/>
              </w:rPr>
              <w:t xml:space="preserve">Instituțiile calculează cuantificările expunerii așteptate sau ale expunerii maxime pe baza unei distribuții </w:t>
            </w:r>
            <w:proofErr w:type="gramStart"/>
            <w:r w:rsidRPr="001B376C">
              <w:rPr>
                <w:color w:val="000000"/>
                <w:sz w:val="18"/>
                <w:szCs w:val="18"/>
                <w:lang w:val="en-US"/>
              </w:rPr>
              <w:t>a</w:t>
            </w:r>
            <w:proofErr w:type="gramEnd"/>
            <w:r w:rsidRPr="001B376C">
              <w:rPr>
                <w:color w:val="000000"/>
                <w:sz w:val="18"/>
                <w:szCs w:val="18"/>
                <w:lang w:val="en-US"/>
              </w:rPr>
              <w:t xml:space="preserve"> expunerilor care ține seama de posibilitatea ca expunerile să nu fie normal distribuite.</w:t>
            </w:r>
          </w:p>
          <w:p w14:paraId="6D257719" w14:textId="044B1A24"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(8)  </w:t>
            </w:r>
            <w:r w:rsidRPr="001B376C">
              <w:rPr>
                <w:color w:val="000000"/>
                <w:sz w:val="18"/>
                <w:szCs w:val="18"/>
                <w:lang w:val="en-US"/>
              </w:rPr>
              <w:t xml:space="preserve"> O instituție poate utiliza o cuantificare a distribuției calculată prin MMI, care este mai prudentă decât produsul dintre </w:t>
            </w:r>
            <w:r w:rsidRPr="001B376C">
              <w:rPr>
                <w:color w:val="000000"/>
                <w:sz w:val="18"/>
                <w:szCs w:val="18"/>
              </w:rPr>
              <w:t>α</w:t>
            </w:r>
            <w:r w:rsidRPr="001B376C">
              <w:rPr>
                <w:color w:val="000000"/>
                <w:sz w:val="18"/>
                <w:szCs w:val="18"/>
                <w:lang w:val="en-US"/>
              </w:rPr>
              <w:t xml:space="preserve"> și expunerea pozitivă așteptată efectivă, calculat în conformitate cu ecuația de la alineatul (4) pentru fiecare contraparte.</w:t>
            </w:r>
          </w:p>
          <w:p w14:paraId="0D34BDA7" w14:textId="7C11AE3C" w:rsidR="00236954" w:rsidRPr="00236954" w:rsidRDefault="00236954" w:rsidP="003456B0">
            <w:pPr>
              <w:shd w:val="clear" w:color="auto" w:fill="FFFFFF"/>
              <w:jc w:val="both"/>
              <w:rPr>
                <w:color w:val="000000"/>
                <w:sz w:val="18"/>
                <w:szCs w:val="18"/>
                <w:lang w:val="en-US"/>
              </w:rPr>
            </w:pPr>
            <w:r w:rsidRPr="001B376C">
              <w:rPr>
                <w:rStyle w:val="no-parag"/>
                <w:color w:val="000000"/>
                <w:sz w:val="18"/>
                <w:szCs w:val="18"/>
                <w:lang w:val="en-US"/>
              </w:rPr>
              <w:t>(9) </w:t>
            </w:r>
            <w:r w:rsidRPr="00236954">
              <w:rPr>
                <w:color w:val="000000"/>
                <w:sz w:val="18"/>
                <w:szCs w:val="18"/>
                <w:lang w:val="en-US"/>
              </w:rPr>
              <w:t>În pofida alineatului (4), autoritățile competente pot permite instituțiilor să utilizeze propriile estimări ale alfa, dacă:</w:t>
            </w:r>
          </w:p>
          <w:p w14:paraId="65765008" w14:textId="4D56253D" w:rsidR="00236954" w:rsidRPr="00236954" w:rsidRDefault="00236954" w:rsidP="003456B0">
            <w:pPr>
              <w:shd w:val="clear" w:color="auto" w:fill="FFFFFF"/>
              <w:jc w:val="both"/>
              <w:rPr>
                <w:color w:val="000000"/>
                <w:sz w:val="18"/>
                <w:szCs w:val="18"/>
                <w:lang w:val="en-US"/>
              </w:rPr>
            </w:pPr>
            <w:r w:rsidRPr="001B376C">
              <w:rPr>
                <w:color w:val="000000"/>
                <w:sz w:val="18"/>
                <w:szCs w:val="18"/>
                <w:lang w:val="en-US"/>
              </w:rPr>
              <w:t>(a) </w:t>
            </w:r>
            <w:r w:rsidRPr="00236954">
              <w:rPr>
                <w:color w:val="000000"/>
                <w:sz w:val="18"/>
                <w:szCs w:val="18"/>
                <w:lang w:val="en-US"/>
              </w:rPr>
              <w:t xml:space="preserve">alfa este egal cu raportul dintre capitalul intern rezultat în urma unei simulări complete, pentru toate contrapărțile, </w:t>
            </w:r>
            <w:proofErr w:type="gramStart"/>
            <w:r w:rsidRPr="00236954">
              <w:rPr>
                <w:color w:val="000000"/>
                <w:sz w:val="18"/>
                <w:szCs w:val="18"/>
                <w:lang w:val="en-US"/>
              </w:rPr>
              <w:t>a</w:t>
            </w:r>
            <w:proofErr w:type="gramEnd"/>
            <w:r w:rsidRPr="00236954">
              <w:rPr>
                <w:color w:val="000000"/>
                <w:sz w:val="18"/>
                <w:szCs w:val="18"/>
                <w:lang w:val="en-US"/>
              </w:rPr>
              <w:t xml:space="preserve"> expunerii la riscul de credit al contrapărții (la numărător) și capitalul intern bazat pe expunerea pozitivă așteptată (la numitor</w:t>
            </w:r>
            <w:proofErr w:type="gramStart"/>
            <w:r w:rsidRPr="00236954">
              <w:rPr>
                <w:color w:val="000000"/>
                <w:sz w:val="18"/>
                <w:szCs w:val="18"/>
                <w:lang w:val="en-US"/>
              </w:rPr>
              <w:t>);</w:t>
            </w:r>
            <w:proofErr w:type="gramEnd"/>
          </w:p>
          <w:p w14:paraId="381A7BE5" w14:textId="7CDF6F4C" w:rsidR="00236954" w:rsidRPr="00236954" w:rsidRDefault="00236954" w:rsidP="003456B0">
            <w:pPr>
              <w:shd w:val="clear" w:color="auto" w:fill="FFFFFF"/>
              <w:jc w:val="both"/>
              <w:rPr>
                <w:color w:val="000000"/>
                <w:sz w:val="18"/>
                <w:szCs w:val="18"/>
                <w:lang w:val="en-US"/>
              </w:rPr>
            </w:pPr>
            <w:r w:rsidRPr="001B376C">
              <w:rPr>
                <w:color w:val="000000"/>
                <w:sz w:val="18"/>
                <w:szCs w:val="18"/>
                <w:lang w:val="en-US"/>
              </w:rPr>
              <w:t>(b) </w:t>
            </w:r>
            <w:r w:rsidRPr="00236954">
              <w:rPr>
                <w:color w:val="000000"/>
                <w:sz w:val="18"/>
                <w:szCs w:val="18"/>
                <w:lang w:val="en-US"/>
              </w:rPr>
              <w:t>la numitor, expunerea pozitivă așteptată este utilizată ca și când ar fi o sumă fixă rămasă de rambursat.</w:t>
            </w:r>
          </w:p>
          <w:p w14:paraId="6B0FDADA" w14:textId="77777777" w:rsidR="00236954" w:rsidRPr="001B376C" w:rsidRDefault="00236954" w:rsidP="003456B0">
            <w:pPr>
              <w:pStyle w:val="norm"/>
              <w:shd w:val="clear" w:color="auto" w:fill="FFFFFF"/>
              <w:rPr>
                <w:color w:val="000000"/>
                <w:sz w:val="18"/>
                <w:szCs w:val="18"/>
              </w:rPr>
            </w:pPr>
            <w:r w:rsidRPr="001B376C">
              <w:rPr>
                <w:color w:val="000000"/>
                <w:sz w:val="18"/>
                <w:szCs w:val="18"/>
              </w:rPr>
              <w:lastRenderedPageBreak/>
              <w:t>Atunci când se estimează în conformitate cu prezentul alineat, alfa nu trebuie să fie mai mic de 1,2.</w:t>
            </w:r>
          </w:p>
          <w:p w14:paraId="2A3D3207" w14:textId="5F796727"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(10) </w:t>
            </w:r>
            <w:r w:rsidRPr="001B376C">
              <w:rPr>
                <w:color w:val="000000"/>
                <w:sz w:val="18"/>
                <w:szCs w:val="18"/>
                <w:lang w:val="en-US"/>
              </w:rPr>
              <w:t xml:space="preserve">În scopul estimării alfa în conformitate cu alineatul (9), o instituție trebuie să se asigure că numărătorul și numitorul sunt calculați în mod coerent cu metodologia de modelare, specificațiile parametrilor și compoziția portofoliului. Abordarea utilizată pentru </w:t>
            </w:r>
            <w:proofErr w:type="gramStart"/>
            <w:r w:rsidRPr="001B376C">
              <w:rPr>
                <w:color w:val="000000"/>
                <w:sz w:val="18"/>
                <w:szCs w:val="18"/>
                <w:lang w:val="en-US"/>
              </w:rPr>
              <w:t>a</w:t>
            </w:r>
            <w:proofErr w:type="gramEnd"/>
            <w:r w:rsidRPr="001B376C">
              <w:rPr>
                <w:color w:val="000000"/>
                <w:sz w:val="18"/>
                <w:szCs w:val="18"/>
                <w:lang w:val="en-US"/>
              </w:rPr>
              <w:t xml:space="preserve"> estima </w:t>
            </w:r>
            <w:r w:rsidRPr="001B376C">
              <w:rPr>
                <w:color w:val="000000"/>
                <w:sz w:val="18"/>
                <w:szCs w:val="18"/>
              </w:rPr>
              <w:t>α</w:t>
            </w:r>
            <w:r w:rsidRPr="001B376C">
              <w:rPr>
                <w:color w:val="000000"/>
                <w:sz w:val="18"/>
                <w:szCs w:val="18"/>
                <w:lang w:val="en-US"/>
              </w:rPr>
              <w:t xml:space="preserve"> trebuie să se bazeze pe abordarea instituției în ceea ce privește capitalul intern, să fie bine formalizată și să fie supusă unei validări independente. În plus, o instituție trebuie să-și revizuiască estimările cu privire la alfa cel puțin trimestrial și chiar mai frecvent în cazul în care compoziția portofoliului variază în timp. Instituția trebuie, de asemenea, să evalueze riscul aferent modelului.</w:t>
            </w:r>
          </w:p>
          <w:p w14:paraId="252E322E" w14:textId="6AD4AAEC"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(11) </w:t>
            </w:r>
            <w:r>
              <w:rPr>
                <w:rStyle w:val="no-parag"/>
                <w:color w:val="000000"/>
                <w:sz w:val="18"/>
                <w:szCs w:val="18"/>
                <w:lang w:val="en-US"/>
              </w:rPr>
              <w:t>O</w:t>
            </w:r>
            <w:r w:rsidRPr="001B376C">
              <w:rPr>
                <w:color w:val="000000"/>
                <w:sz w:val="18"/>
                <w:szCs w:val="18"/>
                <w:lang w:val="en-US"/>
              </w:rPr>
              <w:t xml:space="preserve"> instituție trebuie să demonstreze, într-un mod pe care autoritățile competente îl consideră satisfăcător, că estimările sale interne cu privire la alfa reflectă, la numărător, sursele semnificative ale dependenței distribuției valorilor de piață ale tranzacțiilor sau ale portofoliilor de tranzacții pentru toate contrapărțile. Estimările interne cu privire la </w:t>
            </w:r>
            <w:r w:rsidRPr="001B376C">
              <w:rPr>
                <w:color w:val="000000"/>
                <w:sz w:val="18"/>
                <w:szCs w:val="18"/>
              </w:rPr>
              <w:t>α</w:t>
            </w:r>
            <w:r w:rsidRPr="001B376C">
              <w:rPr>
                <w:color w:val="000000"/>
                <w:sz w:val="18"/>
                <w:szCs w:val="18"/>
                <w:lang w:val="en-US"/>
              </w:rPr>
              <w:t xml:space="preserve"> trebuie să țină seama de granularitatea portofoliilor.</w:t>
            </w:r>
          </w:p>
          <w:p w14:paraId="7832EC17" w14:textId="1340BCA6"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(12) </w:t>
            </w:r>
            <w:r w:rsidRPr="001B376C">
              <w:rPr>
                <w:color w:val="000000"/>
                <w:sz w:val="18"/>
                <w:szCs w:val="18"/>
                <w:lang w:val="en-US"/>
              </w:rPr>
              <w:t xml:space="preserve">La supravegherea utilizării estimărilor în conformitate cu alineatul (9), autoritățile competente trebuie să țină seama de variația considerabilă </w:t>
            </w:r>
            <w:proofErr w:type="gramStart"/>
            <w:r w:rsidRPr="001B376C">
              <w:rPr>
                <w:color w:val="000000"/>
                <w:sz w:val="18"/>
                <w:szCs w:val="18"/>
                <w:lang w:val="en-US"/>
              </w:rPr>
              <w:t>a</w:t>
            </w:r>
            <w:proofErr w:type="gramEnd"/>
            <w:r w:rsidRPr="001B376C">
              <w:rPr>
                <w:color w:val="000000"/>
                <w:sz w:val="18"/>
                <w:szCs w:val="18"/>
                <w:lang w:val="en-US"/>
              </w:rPr>
              <w:t xml:space="preserve"> estimărilor lui alfa care rezultă din potențialele specificații eronate din modelele utilizate pentru numărător, în special dacă există convexitate.</w:t>
            </w:r>
          </w:p>
          <w:p w14:paraId="6ED72354" w14:textId="2ABA7105" w:rsidR="00236954" w:rsidRPr="001B376C" w:rsidRDefault="00236954" w:rsidP="003456B0">
            <w:pPr>
              <w:shd w:val="clear" w:color="auto" w:fill="FFFFFF"/>
              <w:jc w:val="both"/>
              <w:rPr>
                <w:color w:val="000000"/>
                <w:sz w:val="18"/>
                <w:szCs w:val="18"/>
                <w:lang w:val="en-US"/>
              </w:rPr>
            </w:pPr>
            <w:r w:rsidRPr="001B376C">
              <w:rPr>
                <w:rStyle w:val="no-parag"/>
                <w:color w:val="000000"/>
                <w:sz w:val="18"/>
                <w:szCs w:val="18"/>
                <w:lang w:val="en-US"/>
              </w:rPr>
              <w:t>(13) </w:t>
            </w:r>
            <w:r w:rsidRPr="001B376C">
              <w:rPr>
                <w:color w:val="000000"/>
                <w:sz w:val="18"/>
                <w:szCs w:val="18"/>
                <w:lang w:val="en-US"/>
              </w:rPr>
              <w:t>După caz, volatilitățile și corelările factorilor de risc de piață, utilizate în modelarea comună a riscului de piață și a riscului de credit, trebuie să fie condiționate de factorul de risc de credit, pentru a reflecta creșterile potențiale ale volatilității sau ale corelării în cazul unui declin economic.</w:t>
            </w:r>
          </w:p>
          <w:p w14:paraId="1A46F844" w14:textId="77777777" w:rsidR="00236954" w:rsidRPr="001B376C" w:rsidRDefault="00236954" w:rsidP="003456B0">
            <w:pPr>
              <w:pStyle w:val="title-article-norm"/>
              <w:jc w:val="both"/>
              <w:rPr>
                <w:i w:val="0"/>
                <w:sz w:val="18"/>
                <w:szCs w:val="18"/>
                <w:lang w:val="ro-MD"/>
              </w:rPr>
            </w:pPr>
          </w:p>
        </w:tc>
        <w:tc>
          <w:tcPr>
            <w:tcW w:w="4356" w:type="dxa"/>
          </w:tcPr>
          <w:p w14:paraId="63934CC8" w14:textId="77777777" w:rsidR="00236954" w:rsidRPr="008070DB" w:rsidRDefault="00236954" w:rsidP="003456B0">
            <w:pPr>
              <w:tabs>
                <w:tab w:val="left" w:pos="0"/>
              </w:tabs>
              <w:jc w:val="both"/>
              <w:rPr>
                <w:i/>
                <w:iCs/>
                <w:sz w:val="18"/>
                <w:szCs w:val="18"/>
                <w:lang w:val="ro-MD" w:eastAsia="ro-MD"/>
              </w:rPr>
            </w:pPr>
            <w:bookmarkStart w:id="28" w:name="_Hlk214458002"/>
            <w:r w:rsidRPr="008070DB">
              <w:rPr>
                <w:i/>
                <w:iCs/>
                <w:sz w:val="18"/>
                <w:szCs w:val="18"/>
                <w:lang w:val="ro-MD" w:eastAsia="ro-MD"/>
              </w:rPr>
              <w:lastRenderedPageBreak/>
              <w:t>Secţiunea a 2-a</w:t>
            </w:r>
          </w:p>
          <w:bookmarkEnd w:id="28"/>
          <w:p w14:paraId="24F58F3E" w14:textId="77777777" w:rsidR="00236954" w:rsidRPr="008070DB" w:rsidRDefault="00236954" w:rsidP="003456B0">
            <w:pPr>
              <w:tabs>
                <w:tab w:val="left" w:pos="0"/>
              </w:tabs>
              <w:jc w:val="both"/>
              <w:rPr>
                <w:b/>
                <w:bCs/>
                <w:sz w:val="18"/>
                <w:szCs w:val="18"/>
                <w:lang w:val="ro-MD" w:eastAsia="ro-MD"/>
              </w:rPr>
            </w:pPr>
            <w:r w:rsidRPr="008070DB">
              <w:rPr>
                <w:b/>
                <w:bCs/>
                <w:sz w:val="18"/>
                <w:szCs w:val="18"/>
                <w:lang w:val="ro-MD" w:eastAsia="ro-MD"/>
              </w:rPr>
              <w:t>Valoarea expunerii</w:t>
            </w:r>
          </w:p>
          <w:p w14:paraId="7B84F74A" w14:textId="77777777" w:rsidR="00236954" w:rsidRPr="008070DB" w:rsidRDefault="00236954" w:rsidP="003456B0">
            <w:pPr>
              <w:tabs>
                <w:tab w:val="left" w:pos="0"/>
                <w:tab w:val="left" w:pos="955"/>
              </w:tabs>
              <w:jc w:val="both"/>
              <w:rPr>
                <w:sz w:val="18"/>
                <w:szCs w:val="18"/>
                <w:lang w:val="ro-MD" w:eastAsia="ro-MD"/>
              </w:rPr>
            </w:pPr>
            <w:r w:rsidRPr="008070DB">
              <w:rPr>
                <w:b/>
                <w:bCs/>
                <w:sz w:val="18"/>
                <w:szCs w:val="18"/>
                <w:lang w:val="ro-MD" w:eastAsia="ro-MD"/>
              </w:rPr>
              <w:t>166.</w:t>
            </w:r>
            <w:r w:rsidRPr="008070DB">
              <w:rPr>
                <w:sz w:val="18"/>
                <w:szCs w:val="18"/>
                <w:lang w:val="ro-MD" w:eastAsia="ro-MD"/>
              </w:rPr>
              <w:t xml:space="preserve"> Dacă banca a primit, în conformitate cu </w:t>
            </w:r>
            <w:r w:rsidRPr="008070DB">
              <w:rPr>
                <w:sz w:val="18"/>
                <w:szCs w:val="18"/>
                <w:highlight w:val="lightGray"/>
                <w:lang w:val="ro-MD" w:eastAsia="ro-MD"/>
              </w:rPr>
              <w:t>punctele 158-160</w:t>
            </w:r>
            <w:r w:rsidRPr="008070DB">
              <w:rPr>
                <w:sz w:val="18"/>
                <w:szCs w:val="18"/>
                <w:lang w:val="ro-MD" w:eastAsia="ro-MD"/>
              </w:rPr>
              <w:t xml:space="preserve">, aprobarea de a utiliza metoda modelului intern pentru a calcula valoarea expunerii pentru toate sau numai pentru unele din tranzacţiile menţionate la punctul respectiv, aceasta trebuie să măsoare valoarea expunerii tranzacţiilor respective la nivelul setului de compensare. Modelul utilizat de bancă în acest scop trebuie: </w:t>
            </w:r>
          </w:p>
          <w:p w14:paraId="370FD3CF" w14:textId="77777777" w:rsidR="00236954" w:rsidRPr="008070DB" w:rsidRDefault="00236954" w:rsidP="003456B0">
            <w:pPr>
              <w:tabs>
                <w:tab w:val="left" w:pos="0"/>
                <w:tab w:val="left" w:pos="955"/>
              </w:tabs>
              <w:jc w:val="both"/>
              <w:rPr>
                <w:sz w:val="18"/>
                <w:szCs w:val="18"/>
                <w:lang w:val="ro-MD" w:eastAsia="ro-MD"/>
              </w:rPr>
            </w:pPr>
            <w:r w:rsidRPr="008070DB">
              <w:rPr>
                <w:sz w:val="18"/>
                <w:szCs w:val="18"/>
                <w:lang w:val="ro-MD" w:eastAsia="ro-MD"/>
              </w:rPr>
              <w:t xml:space="preserve">166.1. să specifice distribuţia previzionată a modificărilor valorii de piaţă a setului de compensare, care pot fi atribuite modificărilor concomitente ale variabilelor relevante ale pieţei, precum ratele dobânzii și cursurile de schimb; </w:t>
            </w:r>
          </w:p>
          <w:p w14:paraId="753D84D6" w14:textId="77777777" w:rsidR="00236954" w:rsidRPr="008070DB" w:rsidRDefault="00236954" w:rsidP="003456B0">
            <w:pPr>
              <w:tabs>
                <w:tab w:val="left" w:pos="0"/>
                <w:tab w:val="left" w:pos="955"/>
              </w:tabs>
              <w:jc w:val="both"/>
              <w:rPr>
                <w:sz w:val="18"/>
                <w:szCs w:val="18"/>
                <w:lang w:val="ro-MD" w:eastAsia="ro-MD"/>
              </w:rPr>
            </w:pPr>
            <w:r w:rsidRPr="008070DB">
              <w:rPr>
                <w:sz w:val="18"/>
                <w:szCs w:val="18"/>
                <w:lang w:val="ro-MD" w:eastAsia="ro-MD"/>
              </w:rPr>
              <w:t>166.2. să calculeze valoarea expunerii pentru setul de compensare la fiecare dintre datele viitoare, pe baza modificărilor concomitente ale variabilelor pieţei.</w:t>
            </w:r>
          </w:p>
          <w:p w14:paraId="541E015F" w14:textId="77777777" w:rsidR="00236954" w:rsidRPr="008070DB" w:rsidRDefault="00236954" w:rsidP="003456B0">
            <w:pPr>
              <w:tabs>
                <w:tab w:val="left" w:pos="0"/>
                <w:tab w:val="left" w:pos="955"/>
              </w:tabs>
              <w:jc w:val="both"/>
              <w:rPr>
                <w:b/>
                <w:bCs/>
                <w:sz w:val="18"/>
                <w:szCs w:val="18"/>
                <w:lang w:val="ro-MD" w:eastAsia="ro-MD"/>
              </w:rPr>
            </w:pPr>
            <w:r w:rsidRPr="008070DB">
              <w:rPr>
                <w:b/>
                <w:bCs/>
                <w:sz w:val="18"/>
                <w:szCs w:val="18"/>
                <w:lang w:val="ro-MD" w:eastAsia="ro-MD"/>
              </w:rPr>
              <w:t xml:space="preserve">167. </w:t>
            </w:r>
            <w:r w:rsidRPr="008070DB">
              <w:rPr>
                <w:sz w:val="18"/>
                <w:szCs w:val="18"/>
                <w:lang w:val="ro-MD" w:eastAsia="ro-MD"/>
              </w:rPr>
              <w:t xml:space="preserve">Pentru ca modelul să reflecte efectele constituirii marjei, modelul valorii garanţiei reale trebuie să îndeplinească cerinţele cantitative, calitative și privind datele referitoare la metoda modelului intern, în conformitate cu prezenta secţiune, iar banca poate să includă în distribuţiile previzionate ale modificărilor valorii de piaţă a setului de compensare numai garanţiile financiare eligibile definite în Regulamentul nr.112/2018 și la </w:t>
            </w:r>
            <w:r w:rsidRPr="008070DB">
              <w:rPr>
                <w:sz w:val="18"/>
                <w:szCs w:val="18"/>
                <w:highlight w:val="lightGray"/>
                <w:lang w:val="ro-MD" w:eastAsia="ro-MD"/>
              </w:rPr>
              <w:t>punctele 120 și 121.</w:t>
            </w:r>
            <w:r w:rsidRPr="008070DB">
              <w:rPr>
                <w:sz w:val="18"/>
                <w:szCs w:val="18"/>
                <w:lang w:val="ro-MD" w:eastAsia="ro-MD"/>
              </w:rPr>
              <w:t xml:space="preserve"> </w:t>
            </w:r>
          </w:p>
          <w:p w14:paraId="1E278EA1" w14:textId="77777777" w:rsidR="00236954" w:rsidRPr="008070DB" w:rsidRDefault="00236954" w:rsidP="003456B0">
            <w:pPr>
              <w:tabs>
                <w:tab w:val="left" w:pos="0"/>
              </w:tabs>
              <w:jc w:val="both"/>
              <w:rPr>
                <w:sz w:val="18"/>
                <w:szCs w:val="18"/>
                <w:lang w:val="ro-MD" w:eastAsia="ro-MD"/>
              </w:rPr>
            </w:pPr>
            <w:r w:rsidRPr="008070DB">
              <w:rPr>
                <w:b/>
                <w:bCs/>
                <w:sz w:val="18"/>
                <w:szCs w:val="18"/>
                <w:lang w:val="ro-MD" w:eastAsia="ro-MD"/>
              </w:rPr>
              <w:t>168.</w:t>
            </w:r>
            <w:r w:rsidRPr="008070DB">
              <w:rPr>
                <w:sz w:val="18"/>
                <w:szCs w:val="18"/>
                <w:lang w:val="ro-MD" w:eastAsia="ro-MD"/>
              </w:rPr>
              <w:t xml:space="preserve"> Cerinţa de fonduri proprii pentru riscul de credit al contrapărţii pentru expunerile la riscul de credit al contrapărţii în cazul cărora banca aplică metoda modelului intern trebuie să fie cea mai mare dintre următoarele cerinţe: </w:t>
            </w:r>
          </w:p>
          <w:p w14:paraId="6E97664A"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 xml:space="preserve">168.1. cerinţa de fonduri proprii pentru aceste expuneri, calculată pe baza expunerii pozitive așteptate efective, utilizând datele de piaţă curente; </w:t>
            </w:r>
          </w:p>
          <w:p w14:paraId="413C20BD"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168.2. cerinţa de fonduri proprii pentru aceste expuneri, calculată pe baza expunerii pozitive așteptate efective, utilizând în mod consecvent o singură calibrare la condiţii de criză (stress calibration) pentru toate expunerile la riscul de credit al contrapărţii în cazul cărora banca aplică metoda modelului intern.</w:t>
            </w:r>
          </w:p>
          <w:p w14:paraId="3AC0D63E" w14:textId="0D223BCC" w:rsidR="00236954" w:rsidRPr="008070DB" w:rsidRDefault="00236954" w:rsidP="003456B0">
            <w:pPr>
              <w:tabs>
                <w:tab w:val="left" w:pos="0"/>
              </w:tabs>
              <w:jc w:val="both"/>
              <w:rPr>
                <w:sz w:val="18"/>
                <w:szCs w:val="18"/>
                <w:lang w:val="ro-MD" w:eastAsia="ro-MD"/>
              </w:rPr>
            </w:pPr>
            <w:r w:rsidRPr="008070DB">
              <w:rPr>
                <w:b/>
                <w:bCs/>
                <w:sz w:val="18"/>
                <w:szCs w:val="18"/>
                <w:lang w:val="ro-MD" w:eastAsia="ro-MD"/>
              </w:rPr>
              <w:t>169.</w:t>
            </w:r>
            <w:r w:rsidRPr="008070DB">
              <w:rPr>
                <w:sz w:val="18"/>
                <w:szCs w:val="18"/>
                <w:lang w:val="ro-MD" w:eastAsia="ro-MD"/>
              </w:rPr>
              <w:t xml:space="preserve"> Cu excepţia contrapărţilor identificate ca având un risc de corelare defavorabilă (Wrong-Way Risk) specific, care se încadrează în domeniul de aplicare al </w:t>
            </w:r>
            <w:r w:rsidRPr="008070DB">
              <w:rPr>
                <w:sz w:val="18"/>
                <w:szCs w:val="18"/>
                <w:highlight w:val="lightGray"/>
                <w:lang w:val="ro-MD" w:eastAsia="ro-MD"/>
              </w:rPr>
              <w:t>punctelor 2</w:t>
            </w:r>
            <w:r w:rsidR="00841505">
              <w:rPr>
                <w:sz w:val="18"/>
                <w:szCs w:val="18"/>
                <w:highlight w:val="lightGray"/>
                <w:lang w:val="ro-MD" w:eastAsia="ro-MD"/>
              </w:rPr>
              <w:t>24</w:t>
            </w:r>
            <w:r w:rsidRPr="008070DB">
              <w:rPr>
                <w:sz w:val="18"/>
                <w:szCs w:val="18"/>
                <w:highlight w:val="lightGray"/>
                <w:lang w:val="ro-MD" w:eastAsia="ro-MD"/>
              </w:rPr>
              <w:t xml:space="preserve"> și 2</w:t>
            </w:r>
            <w:r w:rsidR="00841505">
              <w:rPr>
                <w:sz w:val="18"/>
                <w:szCs w:val="18"/>
                <w:highlight w:val="lightGray"/>
                <w:lang w:val="ro-MD" w:eastAsia="ro-MD"/>
              </w:rPr>
              <w:t>25</w:t>
            </w:r>
            <w:r w:rsidRPr="008070DB">
              <w:rPr>
                <w:sz w:val="18"/>
                <w:szCs w:val="18"/>
                <w:highlight w:val="lightGray"/>
                <w:lang w:val="ro-MD" w:eastAsia="ro-MD"/>
              </w:rPr>
              <w:t>,</w:t>
            </w:r>
            <w:r w:rsidRPr="008070DB">
              <w:rPr>
                <w:sz w:val="18"/>
                <w:szCs w:val="18"/>
                <w:lang w:val="ro-MD" w:eastAsia="ro-MD"/>
              </w:rPr>
              <w:t xml:space="preserve"> băncile trebuie să calculeze valoarea expunerii ca produs dintre alfa (α) și expunerea pozitivă așteptată efectivă, după cum urmează: </w:t>
            </w:r>
          </w:p>
          <w:p w14:paraId="12E7CB5D" w14:textId="77777777" w:rsidR="00236954" w:rsidRPr="008070DB" w:rsidRDefault="00236954" w:rsidP="003456B0">
            <w:pPr>
              <w:tabs>
                <w:tab w:val="left" w:pos="0"/>
              </w:tabs>
              <w:jc w:val="both"/>
              <w:rPr>
                <w:i/>
                <w:iCs/>
                <w:sz w:val="18"/>
                <w:szCs w:val="18"/>
                <w:lang w:val="ro-MD" w:eastAsia="ro-MD"/>
              </w:rPr>
            </w:pPr>
            <w:r w:rsidRPr="008070DB">
              <w:rPr>
                <w:i/>
                <w:iCs/>
                <w:sz w:val="18"/>
                <w:szCs w:val="18"/>
                <w:lang w:val="ro-MD" w:eastAsia="ro-MD"/>
              </w:rPr>
              <w:t>Valoarea expunerii = α · expunerea pozitivă așteptată efectivă</w:t>
            </w:r>
          </w:p>
          <w:p w14:paraId="61716329"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 xml:space="preserve">unde: </w:t>
            </w:r>
          </w:p>
          <w:p w14:paraId="55F5F475" w14:textId="4A849752" w:rsidR="00236954" w:rsidRPr="008070DB" w:rsidRDefault="00236954" w:rsidP="003456B0">
            <w:pPr>
              <w:tabs>
                <w:tab w:val="left" w:pos="0"/>
              </w:tabs>
              <w:jc w:val="both"/>
              <w:rPr>
                <w:sz w:val="18"/>
                <w:szCs w:val="18"/>
                <w:lang w:val="ro-MD" w:eastAsia="ro-MD"/>
              </w:rPr>
            </w:pPr>
            <w:r w:rsidRPr="008070DB">
              <w:rPr>
                <w:sz w:val="18"/>
                <w:szCs w:val="18"/>
                <w:lang w:val="ro-MD" w:eastAsia="ro-MD"/>
              </w:rPr>
              <w:t xml:space="preserve">α = 1,4, cu excepţia cazului în care Banca Națională a Moldovei solicită o valoare α mai mare sau permit băncilor să utilizeze estimările proprii în conformitate cu </w:t>
            </w:r>
            <w:r w:rsidRPr="008070DB">
              <w:rPr>
                <w:sz w:val="18"/>
                <w:szCs w:val="18"/>
                <w:highlight w:val="lightGray"/>
                <w:lang w:val="ro-MD" w:eastAsia="ro-MD"/>
              </w:rPr>
              <w:t>punctul 1</w:t>
            </w:r>
            <w:r w:rsidR="00841505">
              <w:rPr>
                <w:sz w:val="18"/>
                <w:szCs w:val="18"/>
                <w:highlight w:val="lightGray"/>
                <w:lang w:val="ro-MD" w:eastAsia="ro-MD"/>
              </w:rPr>
              <w:t>74</w:t>
            </w:r>
            <w:r w:rsidRPr="008070DB">
              <w:rPr>
                <w:sz w:val="18"/>
                <w:szCs w:val="18"/>
                <w:highlight w:val="lightGray"/>
                <w:lang w:val="ro-MD" w:eastAsia="ro-MD"/>
              </w:rPr>
              <w:t>;</w:t>
            </w:r>
            <w:r w:rsidRPr="008070DB">
              <w:rPr>
                <w:sz w:val="18"/>
                <w:szCs w:val="18"/>
                <w:lang w:val="ro-MD" w:eastAsia="ro-MD"/>
              </w:rPr>
              <w:t xml:space="preserve"> </w:t>
            </w:r>
          </w:p>
          <w:p w14:paraId="57B0212B"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Expunerea pozitivă așteptată efectivă se calculează prin estimarea expunerii așteptate (EEt) ca expunere medie la o dată viitoare t, media fiind determinată pe baza valorilor viitoare posibile ale factorilor de risc de piaţă relevanţi. Modelul estimează expunerea așteptată la o serie de date viitoare t1, t2, t3 etc.</w:t>
            </w:r>
          </w:p>
          <w:p w14:paraId="1AF54158" w14:textId="77777777" w:rsidR="00236954" w:rsidRPr="008070DB" w:rsidRDefault="00236954" w:rsidP="003456B0">
            <w:pPr>
              <w:tabs>
                <w:tab w:val="left" w:pos="0"/>
              </w:tabs>
              <w:jc w:val="both"/>
              <w:rPr>
                <w:sz w:val="18"/>
                <w:szCs w:val="18"/>
                <w:lang w:val="ro-MD" w:eastAsia="ro-MD"/>
              </w:rPr>
            </w:pPr>
            <w:r w:rsidRPr="008070DB">
              <w:rPr>
                <w:b/>
                <w:bCs/>
                <w:sz w:val="18"/>
                <w:szCs w:val="18"/>
                <w:lang w:val="ro-MD" w:eastAsia="ro-MD"/>
              </w:rPr>
              <w:t>170.</w:t>
            </w:r>
            <w:r w:rsidRPr="008070DB">
              <w:rPr>
                <w:sz w:val="18"/>
                <w:szCs w:val="18"/>
                <w:lang w:val="ro-MD" w:eastAsia="ro-MD"/>
              </w:rPr>
              <w:t xml:space="preserve"> Expunerea așteptată (EE) efectivă se calculează prin recurenţă după cum urmează:</w:t>
            </w:r>
          </w:p>
          <w:p w14:paraId="4DD894D3" w14:textId="77777777" w:rsidR="00236954" w:rsidRPr="008070DB" w:rsidRDefault="00236954" w:rsidP="003456B0">
            <w:pPr>
              <w:tabs>
                <w:tab w:val="left" w:pos="0"/>
              </w:tabs>
              <w:jc w:val="both"/>
              <w:rPr>
                <w:sz w:val="18"/>
                <w:szCs w:val="18"/>
                <w:lang w:val="ro-MD" w:eastAsia="ro-MD"/>
              </w:rPr>
            </w:pPr>
          </w:p>
          <w:p w14:paraId="08D243EA"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Expunerea așteptată efectivă EE</w:t>
            </w:r>
            <w:r w:rsidRPr="008070DB">
              <w:rPr>
                <w:sz w:val="18"/>
                <w:szCs w:val="18"/>
                <w:vertAlign w:val="subscript"/>
                <w:lang w:val="ro-MD" w:eastAsia="ro-MD"/>
              </w:rPr>
              <w:t>tk</w:t>
            </w:r>
            <w:r w:rsidRPr="008070DB">
              <w:rPr>
                <w:sz w:val="18"/>
                <w:szCs w:val="18"/>
                <w:lang w:val="ro-MD" w:eastAsia="ro-MD"/>
              </w:rPr>
              <w:t xml:space="preserve"> = max {Expunerea așteptată efectivă EE</w:t>
            </w:r>
            <w:r w:rsidRPr="008070DB">
              <w:rPr>
                <w:sz w:val="18"/>
                <w:szCs w:val="18"/>
                <w:vertAlign w:val="subscript"/>
                <w:lang w:val="ro-MD" w:eastAsia="ro-MD"/>
              </w:rPr>
              <w:t>tk-1</w:t>
            </w:r>
            <w:r w:rsidRPr="008070DB">
              <w:rPr>
                <w:sz w:val="18"/>
                <w:szCs w:val="18"/>
                <w:lang w:val="ro-MD" w:eastAsia="ro-MD"/>
              </w:rPr>
              <w:t>, EE</w:t>
            </w:r>
            <w:r w:rsidRPr="008070DB">
              <w:rPr>
                <w:sz w:val="18"/>
                <w:szCs w:val="18"/>
                <w:vertAlign w:val="subscript"/>
                <w:lang w:val="ro-MD" w:eastAsia="ro-MD"/>
              </w:rPr>
              <w:t>tk</w:t>
            </w:r>
            <w:r w:rsidRPr="008070DB">
              <w:rPr>
                <w:sz w:val="18"/>
                <w:szCs w:val="18"/>
                <w:lang w:val="ro-MD" w:eastAsia="ro-MD"/>
              </w:rPr>
              <w:t>}</w:t>
            </w:r>
          </w:p>
          <w:p w14:paraId="058412A5" w14:textId="77777777" w:rsidR="00236954" w:rsidRPr="008070DB" w:rsidRDefault="00236954" w:rsidP="003456B0">
            <w:pPr>
              <w:tabs>
                <w:tab w:val="left" w:pos="0"/>
              </w:tabs>
              <w:jc w:val="both"/>
              <w:rPr>
                <w:sz w:val="18"/>
                <w:szCs w:val="18"/>
                <w:lang w:val="ro-MD" w:eastAsia="ro-MD"/>
              </w:rPr>
            </w:pPr>
          </w:p>
          <w:p w14:paraId="36CC04FB"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unde:</w:t>
            </w:r>
          </w:p>
          <w:p w14:paraId="4BE7DE22"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data curentă este t</w:t>
            </w:r>
            <w:r w:rsidRPr="008070DB">
              <w:rPr>
                <w:sz w:val="18"/>
                <w:szCs w:val="18"/>
                <w:vertAlign w:val="subscript"/>
                <w:lang w:val="ro-MD" w:eastAsia="ro-MD"/>
              </w:rPr>
              <w:t>0</w:t>
            </w:r>
            <w:r w:rsidRPr="008070DB">
              <w:rPr>
                <w:sz w:val="18"/>
                <w:szCs w:val="18"/>
                <w:lang w:val="ro-MD" w:eastAsia="ro-MD"/>
              </w:rPr>
              <w:t>;</w:t>
            </w:r>
          </w:p>
          <w:p w14:paraId="1941AD19" w14:textId="77777777" w:rsidR="00236954" w:rsidRPr="008070DB" w:rsidRDefault="00236954" w:rsidP="003456B0">
            <w:pPr>
              <w:tabs>
                <w:tab w:val="left" w:pos="0"/>
              </w:tabs>
              <w:jc w:val="both"/>
              <w:rPr>
                <w:sz w:val="18"/>
                <w:szCs w:val="18"/>
                <w:lang w:val="ro-MD" w:eastAsia="ro-MD"/>
              </w:rPr>
            </w:pPr>
            <w:r w:rsidRPr="008070DB">
              <w:rPr>
                <w:sz w:val="18"/>
                <w:szCs w:val="18"/>
                <w:lang w:val="ro-MD" w:eastAsia="ro-MD"/>
              </w:rPr>
              <w:t>EEt</w:t>
            </w:r>
            <w:r w:rsidRPr="008070DB">
              <w:rPr>
                <w:sz w:val="18"/>
                <w:szCs w:val="18"/>
                <w:vertAlign w:val="subscript"/>
                <w:lang w:val="ro-MD" w:eastAsia="ro-MD"/>
              </w:rPr>
              <w:t>0</w:t>
            </w:r>
            <w:r w:rsidRPr="008070DB">
              <w:rPr>
                <w:sz w:val="18"/>
                <w:szCs w:val="18"/>
                <w:lang w:val="ro-MD" w:eastAsia="ro-MD"/>
              </w:rPr>
              <w:t xml:space="preserve"> efectivă este egală cu expunerea curentă.</w:t>
            </w:r>
          </w:p>
          <w:p w14:paraId="079A5D65" w14:textId="51514A93" w:rsidR="00236954" w:rsidRPr="008070DB" w:rsidRDefault="00236954" w:rsidP="003456B0">
            <w:pPr>
              <w:tabs>
                <w:tab w:val="left" w:pos="0"/>
              </w:tabs>
              <w:jc w:val="both"/>
              <w:rPr>
                <w:b/>
                <w:bCs/>
                <w:sz w:val="18"/>
                <w:szCs w:val="18"/>
                <w:lang w:val="ro-MD" w:eastAsia="ro-MD"/>
              </w:rPr>
            </w:pPr>
            <w:r w:rsidRPr="008070DB">
              <w:rPr>
                <w:b/>
                <w:bCs/>
                <w:sz w:val="18"/>
                <w:szCs w:val="18"/>
                <w:lang w:val="ro-MD" w:eastAsia="ro-MD"/>
              </w:rPr>
              <w:t>1</w:t>
            </w:r>
            <w:r w:rsidR="00841505">
              <w:rPr>
                <w:b/>
                <w:bCs/>
                <w:sz w:val="18"/>
                <w:szCs w:val="18"/>
                <w:lang w:val="ro-MD" w:eastAsia="ro-MD"/>
              </w:rPr>
              <w:t>71</w:t>
            </w:r>
            <w:r w:rsidRPr="008070DB">
              <w:rPr>
                <w:b/>
                <w:bCs/>
                <w:sz w:val="18"/>
                <w:szCs w:val="18"/>
                <w:lang w:val="ro-MD" w:eastAsia="ro-MD"/>
              </w:rPr>
              <w:t xml:space="preserve">. </w:t>
            </w:r>
            <w:r w:rsidRPr="008070DB">
              <w:rPr>
                <w:sz w:val="18"/>
                <w:szCs w:val="18"/>
                <w:lang w:val="ro-MD" w:eastAsia="ro-MD"/>
              </w:rPr>
              <w:t xml:space="preserve">Expunerea pozitivă așteptată efectivă este expunerea așteptată efectivă medie pe durata primului an al expunerii viitoare. Dacă toate contractele din setul de compensare ajung la scadenţă în mai puţin de un an, expunerea pozitivă așteptată este expunerea așteptată medie până la data la care toate contractele din setul de compensare </w:t>
            </w:r>
            <w:r w:rsidRPr="008070DB">
              <w:rPr>
                <w:sz w:val="18"/>
                <w:szCs w:val="18"/>
                <w:lang w:val="ro-MD" w:eastAsia="ro-MD"/>
              </w:rPr>
              <w:lastRenderedPageBreak/>
              <w:t>ajung la scadenţă. Expunerea pozitivă așteptată efectivă se calculează ca medie ponderată a expunerilor așteptate efective:</w:t>
            </w:r>
          </w:p>
          <w:p w14:paraId="47FD9FD7" w14:textId="77777777" w:rsidR="00236954" w:rsidRPr="008070DB" w:rsidRDefault="00236954" w:rsidP="003456B0">
            <w:pPr>
              <w:tabs>
                <w:tab w:val="left" w:pos="0"/>
              </w:tabs>
              <w:ind w:firstLine="567"/>
              <w:jc w:val="both"/>
              <w:rPr>
                <w:sz w:val="18"/>
                <w:szCs w:val="18"/>
                <w:lang w:val="ro-MD" w:eastAsia="ro-MD"/>
              </w:rPr>
            </w:pPr>
          </w:p>
          <w:p w14:paraId="67E9E520" w14:textId="77777777" w:rsidR="00236954" w:rsidRPr="008070DB" w:rsidRDefault="00236954" w:rsidP="003456B0">
            <w:pPr>
              <w:tabs>
                <w:tab w:val="left" w:pos="0"/>
              </w:tabs>
              <w:ind w:firstLine="567"/>
              <w:jc w:val="both"/>
              <w:rPr>
                <w:sz w:val="18"/>
                <w:szCs w:val="18"/>
                <w:lang w:val="ro-MD" w:eastAsia="ro-MD"/>
              </w:rPr>
            </w:pPr>
            <w:r w:rsidRPr="008070DB">
              <w:rPr>
                <w:rFonts w:asciiTheme="minorHAnsi" w:eastAsiaTheme="minorHAnsi" w:hAnsiTheme="minorHAnsi" w:cstheme="minorBidi"/>
                <w:noProof/>
                <w:kern w:val="2"/>
                <w:sz w:val="18"/>
                <w:szCs w:val="18"/>
                <w:lang w:val="ro-MD"/>
                <w14:ligatures w14:val="standardContextual"/>
              </w:rPr>
              <w:drawing>
                <wp:inline distT="0" distB="0" distL="0" distR="0" wp14:anchorId="6F0764DB" wp14:editId="19336A83">
                  <wp:extent cx="2171775" cy="159488"/>
                  <wp:effectExtent l="0" t="0" r="0" b="0"/>
                  <wp:docPr id="44" name="Picture 4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230980" cy="163836"/>
                          </a:xfrm>
                          <a:prstGeom prst="rect">
                            <a:avLst/>
                          </a:prstGeom>
                          <a:noFill/>
                          <a:ln>
                            <a:noFill/>
                          </a:ln>
                        </pic:spPr>
                      </pic:pic>
                    </a:graphicData>
                  </a:graphic>
                </wp:inline>
              </w:drawing>
            </w:r>
          </w:p>
          <w:p w14:paraId="1307FDA8" w14:textId="77777777" w:rsidR="00236954" w:rsidRPr="008070DB" w:rsidRDefault="00236954" w:rsidP="003456B0">
            <w:pPr>
              <w:tabs>
                <w:tab w:val="left" w:pos="0"/>
              </w:tabs>
              <w:ind w:firstLine="567"/>
              <w:jc w:val="both"/>
              <w:rPr>
                <w:sz w:val="18"/>
                <w:szCs w:val="18"/>
                <w:lang w:val="ro-MD" w:eastAsia="ro-MD"/>
              </w:rPr>
            </w:pPr>
          </w:p>
          <w:p w14:paraId="349AC144" w14:textId="77777777" w:rsidR="00236954" w:rsidRPr="008070DB" w:rsidRDefault="00236954" w:rsidP="003456B0">
            <w:pPr>
              <w:tabs>
                <w:tab w:val="left" w:pos="0"/>
              </w:tabs>
              <w:jc w:val="both"/>
              <w:rPr>
                <w:sz w:val="18"/>
                <w:szCs w:val="18"/>
                <w:lang w:val="ro-MD" w:eastAsia="ro-MD"/>
              </w:rPr>
            </w:pPr>
            <w:r w:rsidRPr="008070DB">
              <w:rPr>
                <w:color w:val="000000"/>
                <w:sz w:val="18"/>
                <w:szCs w:val="18"/>
                <w:shd w:val="clear" w:color="auto" w:fill="FFFFFF"/>
                <w:lang w:val="ro-MD" w:eastAsia="ro-MD"/>
              </w:rPr>
              <w:t>unde ponderile</w:t>
            </w:r>
          </w:p>
          <w:p w14:paraId="2FF52020" w14:textId="77777777" w:rsidR="00236954" w:rsidRPr="008070DB" w:rsidRDefault="00236954" w:rsidP="003456B0">
            <w:pPr>
              <w:shd w:val="clear" w:color="auto" w:fill="FFFFFF"/>
              <w:tabs>
                <w:tab w:val="left" w:pos="0"/>
              </w:tabs>
              <w:spacing w:after="150"/>
              <w:jc w:val="both"/>
              <w:rPr>
                <w:color w:val="000000"/>
                <w:sz w:val="18"/>
                <w:szCs w:val="18"/>
                <w:lang w:val="ro-MD" w:eastAsia="ro-MD"/>
              </w:rPr>
            </w:pPr>
            <w:r w:rsidRPr="008070DB">
              <w:rPr>
                <w:noProof/>
                <w:color w:val="000000"/>
                <w:sz w:val="18"/>
                <w:szCs w:val="18"/>
                <w:lang w:val="ro-MD" w:eastAsia="ro-MD"/>
              </w:rPr>
              <w:drawing>
                <wp:inline distT="0" distB="0" distL="0" distR="0" wp14:anchorId="03123736" wp14:editId="47533771">
                  <wp:extent cx="1095153" cy="191502"/>
                  <wp:effectExtent l="0" t="0" r="0" b="0"/>
                  <wp:docPr id="45" name="Picture 4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110062" cy="194109"/>
                          </a:xfrm>
                          <a:prstGeom prst="rect">
                            <a:avLst/>
                          </a:prstGeom>
                          <a:noFill/>
                          <a:ln>
                            <a:noFill/>
                          </a:ln>
                        </pic:spPr>
                      </pic:pic>
                    </a:graphicData>
                  </a:graphic>
                </wp:inline>
              </w:drawing>
            </w:r>
          </w:p>
          <w:p w14:paraId="69DE3DF8" w14:textId="77777777" w:rsidR="00236954" w:rsidRPr="008070DB" w:rsidRDefault="00236954" w:rsidP="003456B0">
            <w:pPr>
              <w:tabs>
                <w:tab w:val="left" w:pos="0"/>
              </w:tabs>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permit calculul expunerii viitoare la date care nu sunt egal repartizate în timp.</w:t>
            </w:r>
          </w:p>
          <w:p w14:paraId="0DFC44D7" w14:textId="7AB4B6EC" w:rsidR="00236954" w:rsidRPr="008070DB" w:rsidRDefault="00236954" w:rsidP="003456B0">
            <w:pPr>
              <w:tabs>
                <w:tab w:val="left" w:pos="0"/>
              </w:tabs>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Băncile calculează cuantificările expunerii așteptate sau ale expunerii maxime pe baza unei distribuții a expunerilor care ține seama de posibilitatea ca expunerile să nu fie normal distribuite.</w:t>
            </w:r>
          </w:p>
          <w:p w14:paraId="21E9953E" w14:textId="0387F0ED" w:rsidR="00236954" w:rsidRPr="008070DB" w:rsidRDefault="00236954" w:rsidP="003456B0">
            <w:pPr>
              <w:tabs>
                <w:tab w:val="left" w:pos="0"/>
              </w:tabs>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poate utiliza o cuantificare a distribuției calculată prin </w:t>
            </w:r>
            <w:r w:rsidRPr="008070DB">
              <w:rPr>
                <w:sz w:val="18"/>
                <w:szCs w:val="18"/>
                <w:lang w:val="ro-MD" w:eastAsia="ro-MD"/>
              </w:rPr>
              <w:t>metoda modelului intern</w:t>
            </w:r>
            <w:r w:rsidRPr="008070DB">
              <w:rPr>
                <w:color w:val="000000"/>
                <w:sz w:val="18"/>
                <w:szCs w:val="18"/>
                <w:shd w:val="clear" w:color="auto" w:fill="FFFFFF"/>
                <w:lang w:val="ro-MD" w:eastAsia="ro-MD"/>
              </w:rPr>
              <w:t xml:space="preserve">, care este mai prudentă decât produsul dintre α și expunerea pozitivă așteptată efectivă, calculat în conformitate cu ecuația </w:t>
            </w:r>
            <w:r w:rsidRPr="008070DB">
              <w:rPr>
                <w:color w:val="000000"/>
                <w:sz w:val="18"/>
                <w:szCs w:val="18"/>
                <w:highlight w:val="lightGray"/>
                <w:shd w:val="clear" w:color="auto" w:fill="FFFFFF"/>
                <w:lang w:val="ro-MD" w:eastAsia="ro-MD"/>
              </w:rPr>
              <w:t>de la punctul 169</w:t>
            </w:r>
            <w:r w:rsidRPr="008070DB">
              <w:rPr>
                <w:color w:val="000000"/>
                <w:sz w:val="18"/>
                <w:szCs w:val="18"/>
                <w:shd w:val="clear" w:color="auto" w:fill="FFFFFF"/>
                <w:lang w:val="ro-MD" w:eastAsia="ro-MD"/>
              </w:rPr>
              <w:t xml:space="preserve"> pentru fiecare contraparte.</w:t>
            </w:r>
          </w:p>
          <w:p w14:paraId="190F3AA7" w14:textId="739EF56E" w:rsidR="00236954" w:rsidRPr="008070DB" w:rsidRDefault="00236954" w:rsidP="003456B0">
            <w:pPr>
              <w:tabs>
                <w:tab w:val="left" w:pos="0"/>
              </w:tabs>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74</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Prin derogare de la </w:t>
            </w:r>
            <w:r w:rsidRPr="008070DB">
              <w:rPr>
                <w:color w:val="000000"/>
                <w:sz w:val="18"/>
                <w:szCs w:val="18"/>
                <w:highlight w:val="lightGray"/>
                <w:shd w:val="clear" w:color="auto" w:fill="FFFFFF"/>
                <w:lang w:val="ro-MD" w:eastAsia="ro-MD"/>
              </w:rPr>
              <w:t>punctul 169</w:t>
            </w:r>
            <w:r w:rsidRPr="008070DB">
              <w:rPr>
                <w:color w:val="000000"/>
                <w:sz w:val="18"/>
                <w:szCs w:val="18"/>
                <w:shd w:val="clear" w:color="auto" w:fill="FFFFFF"/>
                <w:lang w:val="ro-MD" w:eastAsia="ro-MD"/>
              </w:rPr>
              <w:t>, Banca Națională a Moldovei poate permite băncilor să utilizeze propriile estimări ale alfa, dacă:</w:t>
            </w:r>
          </w:p>
          <w:p w14:paraId="7849C4F3" w14:textId="3B3C635D" w:rsidR="00236954" w:rsidRPr="008070DB" w:rsidRDefault="00236954" w:rsidP="003456B0">
            <w:pPr>
              <w:tabs>
                <w:tab w:val="left" w:pos="0"/>
              </w:tabs>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74</w:t>
            </w:r>
            <w:r w:rsidRPr="008070DB">
              <w:rPr>
                <w:color w:val="000000"/>
                <w:sz w:val="18"/>
                <w:szCs w:val="18"/>
                <w:shd w:val="clear" w:color="auto" w:fill="FFFFFF"/>
                <w:lang w:val="ro-MD" w:eastAsia="ro-MD"/>
              </w:rPr>
              <w:t>.1. alfa este egal cu raportul dintre capitalul intern rezultat în urma unei simulări complete, pentru toate contrapărțile, a expunerii la riscul de credit al contrapărții (la numărător) și capitalul intern bazat pe expunerea pozitivă așteptată (la numitor);</w:t>
            </w:r>
          </w:p>
          <w:p w14:paraId="41158587" w14:textId="22CF96BF" w:rsidR="00236954" w:rsidRPr="008070DB" w:rsidRDefault="00236954" w:rsidP="003456B0">
            <w:pPr>
              <w:tabs>
                <w:tab w:val="left" w:pos="0"/>
              </w:tabs>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74</w:t>
            </w:r>
            <w:r w:rsidRPr="008070DB">
              <w:rPr>
                <w:color w:val="000000"/>
                <w:sz w:val="18"/>
                <w:szCs w:val="18"/>
                <w:shd w:val="clear" w:color="auto" w:fill="FFFFFF"/>
                <w:lang w:val="ro-MD" w:eastAsia="ro-MD"/>
              </w:rPr>
              <w:t>.2. la numitor, expunerea pozitivă așteptată este utilizată ca și când ar fi o sumă fixă rămasă de rambursat.</w:t>
            </w:r>
          </w:p>
          <w:p w14:paraId="71B07191" w14:textId="77777777" w:rsidR="00236954" w:rsidRPr="008070DB" w:rsidRDefault="00236954" w:rsidP="003456B0">
            <w:pPr>
              <w:tabs>
                <w:tab w:val="left" w:pos="0"/>
              </w:tabs>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Atunci când se estimează în conformitate cu prezentul punct, alfa nu trebuie să fie mai mic de 1,2.</w:t>
            </w:r>
          </w:p>
          <w:p w14:paraId="1901CC9A" w14:textId="2C425FB2" w:rsidR="00236954" w:rsidRPr="008070DB" w:rsidRDefault="00236954" w:rsidP="003456B0">
            <w:pPr>
              <w:tabs>
                <w:tab w:val="left" w:pos="0"/>
              </w:tabs>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În scopul estimării alfa în conformitate cu </w:t>
            </w:r>
            <w:r w:rsidRPr="008070DB">
              <w:rPr>
                <w:color w:val="000000"/>
                <w:sz w:val="18"/>
                <w:szCs w:val="18"/>
                <w:highlight w:val="lightGray"/>
                <w:shd w:val="clear" w:color="auto" w:fill="FFFFFF"/>
                <w:lang w:val="ro-MD" w:eastAsia="ro-MD"/>
              </w:rPr>
              <w:t>punctul 1</w:t>
            </w:r>
            <w:r w:rsidR="00841505">
              <w:rPr>
                <w:color w:val="000000"/>
                <w:sz w:val="18"/>
                <w:szCs w:val="18"/>
                <w:shd w:val="clear" w:color="auto" w:fill="FFFFFF"/>
                <w:lang w:val="ro-MD" w:eastAsia="ro-MD"/>
              </w:rPr>
              <w:t>74</w:t>
            </w:r>
            <w:r w:rsidRPr="008070DB">
              <w:rPr>
                <w:color w:val="000000"/>
                <w:sz w:val="18"/>
                <w:szCs w:val="18"/>
                <w:shd w:val="clear" w:color="auto" w:fill="FFFFFF"/>
                <w:lang w:val="ro-MD" w:eastAsia="ro-MD"/>
              </w:rPr>
              <w:t xml:space="preserve">, banca trebuie să se asigure că numărătorul și numitorul sunt calculați în mod coerent cu metodologia de modelare, specificațiile parametrilor și compoziția portofoliului. Abordarea utilizată pentru a estima α trebuie să se bazeze pe abordarea băncii în ceea ce privește capitalul intern, să fie bine formalizată și să fie supusă unei validări independente. În plus, banca trebuie să-și revizuiască estimările cu privire la alfa cel puțin </w:t>
            </w:r>
            <w:r w:rsidRPr="008070DB">
              <w:rPr>
                <w:color w:val="000000"/>
                <w:sz w:val="18"/>
                <w:szCs w:val="18"/>
                <w:shd w:val="clear" w:color="auto" w:fill="FFFFFF"/>
                <w:lang w:val="ro-MD" w:eastAsia="ro-MD"/>
              </w:rPr>
              <w:lastRenderedPageBreak/>
              <w:t>trimestrial și chiar mai frecvent în cazul în care compoziția portofoliului variază în timp. Banca trebuie, de asemenea, să evalueze riscul aferent modelului.</w:t>
            </w:r>
          </w:p>
          <w:p w14:paraId="7512EC69" w14:textId="0D54F6F2" w:rsidR="00236954" w:rsidRPr="008070DB" w:rsidRDefault="00236954" w:rsidP="003456B0">
            <w:pPr>
              <w:tabs>
                <w:tab w:val="left" w:pos="0"/>
              </w:tabs>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demonstreze, într-un mod pe care </w:t>
            </w:r>
            <w:bookmarkStart w:id="29" w:name="_Hlk214526452"/>
            <w:r w:rsidRPr="008070DB">
              <w:rPr>
                <w:color w:val="000000"/>
                <w:sz w:val="18"/>
                <w:szCs w:val="18"/>
                <w:shd w:val="clear" w:color="auto" w:fill="FFFFFF"/>
                <w:lang w:val="ro-MD" w:eastAsia="ro-MD"/>
              </w:rPr>
              <w:t xml:space="preserve">Banca Națională a Moldovei </w:t>
            </w:r>
            <w:bookmarkEnd w:id="29"/>
            <w:r w:rsidRPr="008070DB">
              <w:rPr>
                <w:color w:val="000000"/>
                <w:sz w:val="18"/>
                <w:szCs w:val="18"/>
                <w:shd w:val="clear" w:color="auto" w:fill="FFFFFF"/>
                <w:lang w:val="ro-MD" w:eastAsia="ro-MD"/>
              </w:rPr>
              <w:t>îl consideră satisfăcător, că estimările sale interne cu privire la alfa reflectă, la numărător, sursele semnificative ale dependenței distribuției valorilor de piață ale tranzacțiilor sau ale portofoliilor de tranzacții pentru toate contrapărțile. Estimările interne cu privire la α trebuie să țină seama de granularitatea portofoliilor.</w:t>
            </w:r>
          </w:p>
          <w:p w14:paraId="72046862" w14:textId="05F82DDC" w:rsidR="00236954" w:rsidRPr="008070DB" w:rsidRDefault="00236954" w:rsidP="003456B0">
            <w:pPr>
              <w:tabs>
                <w:tab w:val="left" w:pos="0"/>
              </w:tabs>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77</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La supravegherea utilizării estimărilor în conformitate cu </w:t>
            </w:r>
            <w:r w:rsidRPr="008070DB">
              <w:rPr>
                <w:color w:val="000000"/>
                <w:sz w:val="18"/>
                <w:szCs w:val="18"/>
                <w:highlight w:val="lightGray"/>
                <w:shd w:val="clear" w:color="auto" w:fill="FFFFFF"/>
                <w:lang w:val="ro-MD" w:eastAsia="ro-MD"/>
              </w:rPr>
              <w:t>punctul 1</w:t>
            </w:r>
            <w:r w:rsidR="00841505">
              <w:rPr>
                <w:color w:val="000000"/>
                <w:sz w:val="18"/>
                <w:szCs w:val="18"/>
                <w:shd w:val="clear" w:color="auto" w:fill="FFFFFF"/>
                <w:lang w:val="ro-MD" w:eastAsia="ro-MD"/>
              </w:rPr>
              <w:t>74</w:t>
            </w:r>
            <w:r w:rsidRPr="008070DB">
              <w:rPr>
                <w:color w:val="000000"/>
                <w:sz w:val="18"/>
                <w:szCs w:val="18"/>
                <w:shd w:val="clear" w:color="auto" w:fill="FFFFFF"/>
                <w:lang w:val="ro-MD" w:eastAsia="ro-MD"/>
              </w:rPr>
              <w:t>, Banca Națională a Moldovei trebuie să țină seama de variația considerabilă a estimărilor lui alfa care rezultă din potențialele specificații eronate din modelele utilizate pentru numărător, în special dacă există convexitate.</w:t>
            </w:r>
          </w:p>
          <w:p w14:paraId="2E257BB4" w14:textId="3BA2CBD3" w:rsidR="00236954" w:rsidRPr="008070DB" w:rsidRDefault="00236954" w:rsidP="003456B0">
            <w:pPr>
              <w:tabs>
                <w:tab w:val="left" w:pos="0"/>
              </w:tabs>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17</w:t>
            </w:r>
            <w:r w:rsidR="00841505">
              <w:rPr>
                <w:b/>
                <w:bCs/>
                <w:color w:val="000000"/>
                <w:sz w:val="18"/>
                <w:szCs w:val="18"/>
                <w:shd w:val="clear" w:color="auto" w:fill="FFFFFF"/>
                <w:lang w:val="ro-MD" w:eastAsia="ro-MD"/>
              </w:rPr>
              <w:t>8</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După caz, volatilitățile și corelările factorilor de risc de piață, utilizate în modelarea comună a riscului de piață și a riscului de credit, trebuie să fie condiționate de factorul de risc de credit, pentru a reflecta creșterile potențiale ale volatilității sau ale corelării în cazul unui declin economic.</w:t>
            </w:r>
          </w:p>
          <w:p w14:paraId="1ADA11F8"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692EC0C"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06E7E09"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95B58D8"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4911554"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0F0ABF7"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13DD5FD"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23C95C6"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AE4DF2D"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53182E8"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A661D8C" w14:textId="77777777"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FAF132F" w14:textId="4A8862A5" w:rsidR="00236954" w:rsidRPr="008070DB" w:rsidRDefault="00236954" w:rsidP="003456B0">
            <w:pPr>
              <w:tabs>
                <w:tab w:val="left" w:pos="0"/>
              </w:tabs>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6A7FBAAD" w14:textId="7A72B9A2" w:rsidR="00236954" w:rsidRPr="00A96E09" w:rsidRDefault="00236954" w:rsidP="00236954">
            <w:pPr>
              <w:jc w:val="both"/>
              <w:rPr>
                <w:sz w:val="18"/>
                <w:szCs w:val="18"/>
                <w:lang w:val="ro-MD"/>
              </w:rPr>
            </w:pPr>
            <w:r>
              <w:rPr>
                <w:sz w:val="18"/>
                <w:szCs w:val="18"/>
                <w:lang w:val="ro-MD"/>
              </w:rPr>
              <w:lastRenderedPageBreak/>
              <w:t>C</w:t>
            </w:r>
            <w:r w:rsidRPr="00A96E09">
              <w:rPr>
                <w:sz w:val="18"/>
                <w:szCs w:val="18"/>
                <w:lang w:val="ro-MD"/>
              </w:rPr>
              <w:t>ompatibil</w:t>
            </w:r>
          </w:p>
        </w:tc>
        <w:tc>
          <w:tcPr>
            <w:tcW w:w="4683" w:type="dxa"/>
            <w:tcBorders>
              <w:top w:val="single" w:sz="4" w:space="0" w:color="auto"/>
              <w:bottom w:val="single" w:sz="4" w:space="0" w:color="auto"/>
            </w:tcBorders>
          </w:tcPr>
          <w:p w14:paraId="41297F6D" w14:textId="77777777" w:rsidR="00236954" w:rsidRPr="00A96E09" w:rsidRDefault="00236954" w:rsidP="00236954">
            <w:pPr>
              <w:rPr>
                <w:sz w:val="18"/>
                <w:szCs w:val="18"/>
                <w:lang w:val="ro-MD"/>
              </w:rPr>
            </w:pPr>
          </w:p>
        </w:tc>
      </w:tr>
      <w:tr w:rsidR="00236954" w:rsidRPr="007C0793" w14:paraId="261946EA" w14:textId="77777777" w:rsidTr="00C14AF6">
        <w:trPr>
          <w:trHeight w:val="918"/>
        </w:trPr>
        <w:tc>
          <w:tcPr>
            <w:tcW w:w="3866" w:type="dxa"/>
          </w:tcPr>
          <w:p w14:paraId="0CF51873" w14:textId="2B248903" w:rsidR="00236954" w:rsidRPr="00236954" w:rsidRDefault="00236954" w:rsidP="003456B0">
            <w:pPr>
              <w:pStyle w:val="title-article-norm"/>
              <w:jc w:val="both"/>
              <w:rPr>
                <w:b/>
                <w:bCs/>
                <w:iCs w:val="0"/>
                <w:sz w:val="18"/>
                <w:szCs w:val="18"/>
                <w:lang w:val="ro-MD"/>
              </w:rPr>
            </w:pPr>
            <w:r w:rsidRPr="00236954">
              <w:rPr>
                <w:iCs w:val="0"/>
                <w:sz w:val="18"/>
                <w:szCs w:val="18"/>
                <w:lang w:val="ro-MD"/>
              </w:rPr>
              <w:lastRenderedPageBreak/>
              <w:t>Articolul 285</w:t>
            </w:r>
            <w:r w:rsidRPr="00236954">
              <w:rPr>
                <w:b/>
                <w:bCs/>
                <w:iCs w:val="0"/>
                <w:sz w:val="18"/>
                <w:szCs w:val="18"/>
                <w:lang w:val="ro-MD"/>
              </w:rPr>
              <w:t xml:space="preserve"> Valoarea expunerii pentru seturile de compensare care fac obiectul unui contract în marjă</w:t>
            </w:r>
          </w:p>
          <w:p w14:paraId="6EB7AD5A" w14:textId="77777777" w:rsidR="00236954" w:rsidRPr="00236954" w:rsidRDefault="00236954" w:rsidP="003456B0">
            <w:pPr>
              <w:pStyle w:val="title-article-norm"/>
              <w:jc w:val="both"/>
              <w:rPr>
                <w:i w:val="0"/>
                <w:sz w:val="18"/>
                <w:szCs w:val="18"/>
                <w:lang w:val="ro-MD"/>
              </w:rPr>
            </w:pPr>
            <w:r w:rsidRPr="00236954">
              <w:rPr>
                <w:i w:val="0"/>
                <w:sz w:val="18"/>
                <w:szCs w:val="18"/>
                <w:lang w:val="ro-MD"/>
              </w:rPr>
              <w:t>(1)   Dacă setul de compensare face obiectul unui contract în marjă și al evaluării zilnice la prețul pieței, instituția calculează expunerea pozitivă așteptată efectivă în conformitate cu prezentul alineat. Dacă, la estimarea expunerii așteptate, modelul reflectă efectele constituirii marjei, instituția poate, cu aprobarea autorității competente, să utilizeze măsurarea prin intermediul modelului a expunerii așteptate direct în ecuația de la articolul 284 alineatul (5). Autoritățile competente acordă o astfel de aprobare numai dacă verifică faptul că, la estimarea expunerii așteptate, modelul reflectă în mod corect efectele constituirii marjei. O instituție care nu a primit o astfel de aprobare utilizează una din următoarele măsurări ale expunerii pozitive așteptate efective:</w:t>
            </w:r>
          </w:p>
          <w:p w14:paraId="79D09C38" w14:textId="33A902F2" w:rsidR="00236954" w:rsidRPr="00236954" w:rsidRDefault="00236954" w:rsidP="003456B0">
            <w:pPr>
              <w:pStyle w:val="title-article-norm"/>
              <w:jc w:val="both"/>
              <w:rPr>
                <w:i w:val="0"/>
                <w:sz w:val="18"/>
                <w:szCs w:val="18"/>
                <w:lang w:val="ro-MD"/>
              </w:rPr>
            </w:pPr>
            <w:r w:rsidRPr="00236954">
              <w:rPr>
                <w:i w:val="0"/>
                <w:sz w:val="18"/>
                <w:szCs w:val="18"/>
                <w:lang w:val="ro-MD"/>
              </w:rPr>
              <w:t>(a) expunerea pozitivă așteptată efectivă, calculată fără a lua în considerare vreo garanție reală deținută sau furnizată prin constituirea marjei, plus orice garanție reală furnizată contrapărții independent de procesul de evaluare zilnică și de constituire a marjei sau de expunerea curentă;</w:t>
            </w:r>
          </w:p>
          <w:p w14:paraId="06D38D3F" w14:textId="75E2C2FF" w:rsidR="00236954" w:rsidRPr="00236954" w:rsidRDefault="00236954" w:rsidP="003456B0">
            <w:pPr>
              <w:pStyle w:val="title-article-norm"/>
              <w:jc w:val="both"/>
              <w:rPr>
                <w:i w:val="0"/>
                <w:sz w:val="18"/>
                <w:szCs w:val="18"/>
                <w:lang w:val="ro-MD"/>
              </w:rPr>
            </w:pPr>
            <w:r w:rsidRPr="00236954">
              <w:rPr>
                <w:i w:val="0"/>
                <w:sz w:val="18"/>
                <w:szCs w:val="18"/>
                <w:lang w:val="ro-MD"/>
              </w:rPr>
              <w:t>(b) expunerea pozitivă așteptată efectivă, calculată ca creșterea potențială a expunerii pe parcursul perioadei de risc de marjă, plus valoarea mai mare dintre:</w:t>
            </w:r>
          </w:p>
          <w:p w14:paraId="1695371D" w14:textId="2AAD5213" w:rsidR="00236954" w:rsidRPr="00236954" w:rsidRDefault="00236954" w:rsidP="003456B0">
            <w:pPr>
              <w:pStyle w:val="title-article-norm"/>
              <w:jc w:val="both"/>
              <w:rPr>
                <w:i w:val="0"/>
                <w:sz w:val="18"/>
                <w:szCs w:val="18"/>
                <w:lang w:val="ro-MD"/>
              </w:rPr>
            </w:pPr>
            <w:r w:rsidRPr="00236954">
              <w:rPr>
                <w:i w:val="0"/>
                <w:sz w:val="18"/>
                <w:szCs w:val="18"/>
                <w:lang w:val="ro-MD"/>
              </w:rPr>
              <w:lastRenderedPageBreak/>
              <w:t>(i)</w:t>
            </w:r>
            <w:r>
              <w:rPr>
                <w:i w:val="0"/>
                <w:sz w:val="18"/>
                <w:szCs w:val="18"/>
                <w:lang w:val="ro-MD"/>
              </w:rPr>
              <w:t xml:space="preserve"> </w:t>
            </w:r>
            <w:r w:rsidRPr="00236954">
              <w:rPr>
                <w:i w:val="0"/>
                <w:sz w:val="18"/>
                <w:szCs w:val="18"/>
                <w:lang w:val="ro-MD"/>
              </w:rPr>
              <w:t>expunerea curentă, inclusiv orice garanții reale deținute sau furnizate la momentul respectiv, altele decât garanțiile reale care fac obiectul unui apel în marjă sau unui litigiu;</w:t>
            </w:r>
          </w:p>
          <w:p w14:paraId="19E7DA52" w14:textId="3AB8D6AE" w:rsidR="00236954" w:rsidRPr="00236954" w:rsidRDefault="00236954" w:rsidP="003456B0">
            <w:pPr>
              <w:pStyle w:val="title-article-norm"/>
              <w:jc w:val="both"/>
              <w:rPr>
                <w:i w:val="0"/>
                <w:sz w:val="18"/>
                <w:szCs w:val="18"/>
                <w:lang w:val="ro-MD"/>
              </w:rPr>
            </w:pPr>
            <w:r w:rsidRPr="00236954">
              <w:rPr>
                <w:i w:val="0"/>
                <w:sz w:val="18"/>
                <w:szCs w:val="18"/>
                <w:lang w:val="ro-MD"/>
              </w:rPr>
              <w:t>(ii)</w:t>
            </w:r>
            <w:r>
              <w:rPr>
                <w:i w:val="0"/>
                <w:sz w:val="18"/>
                <w:szCs w:val="18"/>
                <w:lang w:val="ro-MD"/>
              </w:rPr>
              <w:t xml:space="preserve"> </w:t>
            </w:r>
            <w:r w:rsidRPr="00236954">
              <w:rPr>
                <w:i w:val="0"/>
                <w:sz w:val="18"/>
                <w:szCs w:val="18"/>
                <w:lang w:val="ro-MD"/>
              </w:rPr>
              <w:t>cea mai mare expunere netă, inclusiv garanțiile reale din cadrul contractului în marjă, care nu declanșează un apel în marjă. Această sumă trebuie să ia în considerare toate pragurile aplicabile, sumele minime ale transferurilor, sumele independente și marjele inițiale, aplicabile în temeiul contractului în marjă.</w:t>
            </w:r>
          </w:p>
          <w:p w14:paraId="53A09F42" w14:textId="77777777" w:rsidR="00236954" w:rsidRPr="00236954" w:rsidRDefault="00236954" w:rsidP="003456B0">
            <w:pPr>
              <w:pStyle w:val="title-article-norm"/>
              <w:jc w:val="both"/>
              <w:rPr>
                <w:i w:val="0"/>
                <w:sz w:val="18"/>
                <w:szCs w:val="18"/>
                <w:lang w:val="ro-MD"/>
              </w:rPr>
            </w:pPr>
            <w:r w:rsidRPr="00236954">
              <w:rPr>
                <w:i w:val="0"/>
                <w:sz w:val="18"/>
                <w:szCs w:val="18"/>
                <w:lang w:val="ro-MD"/>
              </w:rPr>
              <w:t>În sensul literei (b), instituțiile calculează procentul ca modificare pozitivă așteptată a valorii de marcare la piață a tranzacțiilor pe parcursul perioadei de risc de marjă. Modificările valorii garanției reale trebuie luate în considerare prin utilizarea ajustărilor de volatilitate reglementate în conformitate cu secțiunea 4 din capitolul 4, sau a estimărilor proprii pentru ajustările de volatilitate ale metodei extinse a garanțiilor financiare, dar fără să se presupună plata vreunei garanții reale în perioada de risc de marjă. Perioada de risc de marjă nu poate fi mai mică decât perioadele minime prevăzute la alineatele (2)-(5).</w:t>
            </w:r>
          </w:p>
          <w:p w14:paraId="358EBA79" w14:textId="77777777" w:rsidR="00236954" w:rsidRPr="00236954" w:rsidRDefault="00236954" w:rsidP="003456B0">
            <w:pPr>
              <w:pStyle w:val="title-article-norm"/>
              <w:jc w:val="both"/>
              <w:rPr>
                <w:i w:val="0"/>
                <w:sz w:val="18"/>
                <w:szCs w:val="18"/>
                <w:lang w:val="ro-MD"/>
              </w:rPr>
            </w:pPr>
            <w:r w:rsidRPr="00236954">
              <w:rPr>
                <w:i w:val="0"/>
                <w:sz w:val="18"/>
                <w:szCs w:val="18"/>
                <w:lang w:val="ro-MD"/>
              </w:rPr>
              <w:t>(2)   În cazul tranzacțiilor supuse ajustării zilnice a marjei și evaluării zilnice la prețul pieței, perioada de risc de marjă utilizată pentru modelarea valorii expunerii cu contracte în marjă nu trebuie să fie mai mică de:</w:t>
            </w:r>
          </w:p>
          <w:p w14:paraId="4013A82A" w14:textId="7B42B325" w:rsidR="00236954" w:rsidRPr="00236954" w:rsidRDefault="00236954" w:rsidP="003456B0">
            <w:pPr>
              <w:pStyle w:val="title-article-norm"/>
              <w:jc w:val="both"/>
              <w:rPr>
                <w:i w:val="0"/>
                <w:sz w:val="18"/>
                <w:szCs w:val="18"/>
                <w:lang w:val="ro-MD"/>
              </w:rPr>
            </w:pPr>
            <w:r w:rsidRPr="00236954">
              <w:rPr>
                <w:i w:val="0"/>
                <w:sz w:val="18"/>
                <w:szCs w:val="18"/>
                <w:lang w:val="ro-MD"/>
              </w:rPr>
              <w:t>(a)</w:t>
            </w:r>
            <w:r>
              <w:rPr>
                <w:i w:val="0"/>
                <w:sz w:val="18"/>
                <w:szCs w:val="18"/>
                <w:lang w:val="ro-MD"/>
              </w:rPr>
              <w:t xml:space="preserve"> </w:t>
            </w:r>
            <w:r w:rsidRPr="00236954">
              <w:rPr>
                <w:i w:val="0"/>
                <w:sz w:val="18"/>
                <w:szCs w:val="18"/>
                <w:lang w:val="ro-MD"/>
              </w:rPr>
              <w:t>5 zile lucrătoare pentru seturile de compensare care constau numai în tranzacții de răscumpărare, în operațiuni de dare sau luare de titluri sau mărfuri cu împrumut și în tranzacții de creditare în marjă;</w:t>
            </w:r>
          </w:p>
          <w:p w14:paraId="45DF1DC6" w14:textId="30F3B06C" w:rsidR="00236954" w:rsidRPr="00236954" w:rsidRDefault="00236954" w:rsidP="003456B0">
            <w:pPr>
              <w:pStyle w:val="title-article-norm"/>
              <w:jc w:val="both"/>
              <w:rPr>
                <w:i w:val="0"/>
                <w:sz w:val="18"/>
                <w:szCs w:val="18"/>
                <w:lang w:val="ro-MD"/>
              </w:rPr>
            </w:pPr>
            <w:r w:rsidRPr="00236954">
              <w:rPr>
                <w:i w:val="0"/>
                <w:sz w:val="18"/>
                <w:szCs w:val="18"/>
                <w:lang w:val="ro-MD"/>
              </w:rPr>
              <w:lastRenderedPageBreak/>
              <w:t>(b)</w:t>
            </w:r>
            <w:r>
              <w:rPr>
                <w:i w:val="0"/>
                <w:sz w:val="18"/>
                <w:szCs w:val="18"/>
                <w:lang w:val="ro-MD"/>
              </w:rPr>
              <w:t xml:space="preserve"> </w:t>
            </w:r>
            <w:r w:rsidRPr="00236954">
              <w:rPr>
                <w:i w:val="0"/>
                <w:sz w:val="18"/>
                <w:szCs w:val="18"/>
                <w:lang w:val="ro-MD"/>
              </w:rPr>
              <w:t>10 zile lucrătoare pentru toate celelalte seturi de compensare.</w:t>
            </w:r>
          </w:p>
          <w:p w14:paraId="00677373" w14:textId="5AF7A409" w:rsidR="00236954" w:rsidRPr="00236954" w:rsidRDefault="00236954" w:rsidP="003456B0">
            <w:pPr>
              <w:pStyle w:val="title-article-norm"/>
              <w:jc w:val="both"/>
              <w:rPr>
                <w:i w:val="0"/>
                <w:sz w:val="18"/>
                <w:szCs w:val="18"/>
                <w:lang w:val="ro-MD"/>
              </w:rPr>
            </w:pPr>
            <w:r w:rsidRPr="00236954">
              <w:rPr>
                <w:i w:val="0"/>
                <w:sz w:val="18"/>
                <w:szCs w:val="18"/>
                <w:lang w:val="ro-MD"/>
              </w:rPr>
              <w:t>(3) Alineatul (2) literele (a) și (b) fac obiectul următoarelor excepții:</w:t>
            </w:r>
          </w:p>
          <w:p w14:paraId="656563B7" w14:textId="42961D86" w:rsidR="00236954" w:rsidRPr="00236954" w:rsidRDefault="00236954" w:rsidP="003456B0">
            <w:pPr>
              <w:pStyle w:val="title-article-norm"/>
              <w:jc w:val="both"/>
              <w:rPr>
                <w:i w:val="0"/>
                <w:sz w:val="18"/>
                <w:szCs w:val="18"/>
                <w:lang w:val="ro-MD"/>
              </w:rPr>
            </w:pPr>
            <w:r w:rsidRPr="00236954">
              <w:rPr>
                <w:i w:val="0"/>
                <w:sz w:val="18"/>
                <w:szCs w:val="18"/>
                <w:lang w:val="ro-MD"/>
              </w:rPr>
              <w:t>(a) pentru toate seturile de compensare în care numărul tranzacțiilor depășește 5 000 în orice moment din cursul unui trimestru, perioada de risc de marjă pentru trimestrul următor nu trebuie să fie mai mică de 20 de zile lucrătoare. Această excepție nu se aplică expunerilor din tranzacții ale instituțiilor;</w:t>
            </w:r>
          </w:p>
          <w:p w14:paraId="112EED3B" w14:textId="743C3F41" w:rsidR="00236954" w:rsidRPr="00236954" w:rsidRDefault="00236954" w:rsidP="003456B0">
            <w:pPr>
              <w:pStyle w:val="title-article-norm"/>
              <w:jc w:val="both"/>
              <w:rPr>
                <w:i w:val="0"/>
                <w:sz w:val="18"/>
                <w:szCs w:val="18"/>
                <w:lang w:val="ro-MD"/>
              </w:rPr>
            </w:pPr>
            <w:r w:rsidRPr="00236954">
              <w:rPr>
                <w:i w:val="0"/>
                <w:sz w:val="18"/>
                <w:szCs w:val="18"/>
                <w:lang w:val="ro-MD"/>
              </w:rPr>
              <w:t>(b)</w:t>
            </w:r>
            <w:r>
              <w:rPr>
                <w:i w:val="0"/>
                <w:sz w:val="18"/>
                <w:szCs w:val="18"/>
                <w:lang w:val="ro-MD"/>
              </w:rPr>
              <w:t xml:space="preserve"> </w:t>
            </w:r>
            <w:r w:rsidRPr="00236954">
              <w:rPr>
                <w:i w:val="0"/>
                <w:sz w:val="18"/>
                <w:szCs w:val="18"/>
                <w:lang w:val="ro-MD"/>
              </w:rPr>
              <w:t>pentru seturile de compensare care conțin una sau mai multe tranzacții implicând fie garanții reale nelichide, fie un instrument financiar derivat extrabursier care nu poate fi ușor înlocuit, perioada de risc de marjă nu trebuie să fie mai mică de 20 de zile lucrătoare.</w:t>
            </w:r>
          </w:p>
          <w:p w14:paraId="1B108AA7" w14:textId="77777777" w:rsidR="00236954" w:rsidRPr="00236954" w:rsidRDefault="00236954" w:rsidP="003456B0">
            <w:pPr>
              <w:pStyle w:val="title-article-norm"/>
              <w:jc w:val="both"/>
              <w:rPr>
                <w:i w:val="0"/>
                <w:sz w:val="18"/>
                <w:szCs w:val="18"/>
                <w:lang w:val="ro-MD"/>
              </w:rPr>
            </w:pPr>
            <w:r w:rsidRPr="00236954">
              <w:rPr>
                <w:i w:val="0"/>
                <w:sz w:val="18"/>
                <w:szCs w:val="18"/>
                <w:lang w:val="ro-MD"/>
              </w:rPr>
              <w:t>O instituție stabilește faptul că garanția reală este nelichidă sau că instrumentele financiare derivate extrabursiere nu pot fi ușor înlocuite, în contextul unor condiții de criză a pieței, caracterizate prin lipsa piețelor active în mod continuu, în care o contraparte ar obține, într-un termen de două zile sau mai scurt, mai multe cotații de preț care nu ar provoca mișcări pe piață sau nu ar reprezenta un preț reflectând un discount pe piață (în cazul garanției reale) sau o primă pe piață (în cazul unui instrument financiar derivat extrabursier).</w:t>
            </w:r>
          </w:p>
          <w:p w14:paraId="01CD74BE" w14:textId="77777777" w:rsidR="00236954" w:rsidRPr="00236954" w:rsidRDefault="00236954" w:rsidP="003456B0">
            <w:pPr>
              <w:pStyle w:val="title-article-norm"/>
              <w:jc w:val="both"/>
              <w:rPr>
                <w:i w:val="0"/>
                <w:sz w:val="18"/>
                <w:szCs w:val="18"/>
                <w:lang w:val="ro-MD"/>
              </w:rPr>
            </w:pPr>
            <w:r w:rsidRPr="00236954">
              <w:rPr>
                <w:i w:val="0"/>
                <w:sz w:val="18"/>
                <w:szCs w:val="18"/>
                <w:lang w:val="ro-MD"/>
              </w:rPr>
              <w:t>O instituție trebuie să stabilească dacă tranzacțiile sau titlurile pe care le deține drept garanții reale sunt concentrate pe o anumită contraparte și dacă este în măsură, în cazul în care contrapartea respectivă iese de pe piață în mod precipitat, să înlocuiască aceste tranzacții sau titluri.</w:t>
            </w:r>
          </w:p>
          <w:p w14:paraId="37975272" w14:textId="77777777" w:rsidR="00236954" w:rsidRPr="00236954" w:rsidRDefault="00236954" w:rsidP="003456B0">
            <w:pPr>
              <w:pStyle w:val="title-article-norm"/>
              <w:jc w:val="both"/>
              <w:rPr>
                <w:i w:val="0"/>
                <w:sz w:val="18"/>
                <w:szCs w:val="18"/>
                <w:lang w:val="ro-MD"/>
              </w:rPr>
            </w:pPr>
            <w:r w:rsidRPr="00236954">
              <w:rPr>
                <w:i w:val="0"/>
                <w:sz w:val="18"/>
                <w:szCs w:val="18"/>
                <w:lang w:val="ro-MD"/>
              </w:rPr>
              <w:lastRenderedPageBreak/>
              <w:t>(4)   Dacă o instituție a fost implicată în mai mult de două litigii privind apeluri în marjă pentru un anumit set de compensare în ultimele două trimestre, care au durat mai mult decât perioada de risc de marjă aplicabilă în temeiul alineatele (2) și (3), aceasta trebuie să utilizeze, pentru următoarele două trimestre, o perioadă de risc de marjă cel puțin dublă față de perioada specificată la alineatele (2) și (3) pentru setul de compensare respectiv.</w:t>
            </w:r>
          </w:p>
          <w:p w14:paraId="4342BB5A" w14:textId="77777777" w:rsidR="00236954" w:rsidRPr="00236954" w:rsidRDefault="00236954" w:rsidP="003456B0">
            <w:pPr>
              <w:pStyle w:val="title-article-norm"/>
              <w:jc w:val="both"/>
              <w:rPr>
                <w:i w:val="0"/>
                <w:sz w:val="18"/>
                <w:szCs w:val="18"/>
                <w:lang w:val="ro-MD"/>
              </w:rPr>
            </w:pPr>
            <w:r w:rsidRPr="00236954">
              <w:rPr>
                <w:i w:val="0"/>
                <w:sz w:val="18"/>
                <w:szCs w:val="18"/>
                <w:lang w:val="ro-MD"/>
              </w:rPr>
              <w:t>(5)   Pentru reconstituirea marjei cu o periodicitate de N de zile, perioada de risc de marjă trebuie să fie cel puțin egală cu perioada specificată la alineatele (2) și (3), F, plus N zile minus o zi. Respectiv:</w:t>
            </w:r>
          </w:p>
          <w:p w14:paraId="721A40A9" w14:textId="77777777" w:rsidR="00236954" w:rsidRPr="00236954" w:rsidRDefault="00236954" w:rsidP="003456B0">
            <w:pPr>
              <w:pStyle w:val="title-article-norm"/>
              <w:jc w:val="both"/>
              <w:rPr>
                <w:i w:val="0"/>
                <w:sz w:val="18"/>
                <w:szCs w:val="18"/>
                <w:lang w:val="ro-MD"/>
              </w:rPr>
            </w:pPr>
            <w:r w:rsidRPr="00236954">
              <w:rPr>
                <w:iCs w:val="0"/>
                <w:sz w:val="18"/>
                <w:szCs w:val="18"/>
                <w:lang w:val="ro-MD"/>
              </w:rPr>
              <w:t>Perioada de risc de marjă</w:t>
            </w:r>
            <w:r w:rsidRPr="00236954">
              <w:rPr>
                <w:i w:val="0"/>
                <w:sz w:val="18"/>
                <w:szCs w:val="18"/>
                <w:lang w:val="ro-MD"/>
              </w:rPr>
              <w:t xml:space="preserve"> = F + N – 1</w:t>
            </w:r>
          </w:p>
          <w:p w14:paraId="6021679F" w14:textId="116CE254" w:rsidR="00236954" w:rsidRPr="00236954" w:rsidRDefault="00236954" w:rsidP="003456B0">
            <w:pPr>
              <w:pStyle w:val="title-article-norm"/>
              <w:jc w:val="both"/>
              <w:rPr>
                <w:i w:val="0"/>
                <w:sz w:val="18"/>
                <w:szCs w:val="18"/>
                <w:lang w:val="ro-MD"/>
              </w:rPr>
            </w:pPr>
            <w:r w:rsidRPr="00236954">
              <w:rPr>
                <w:i w:val="0"/>
                <w:sz w:val="18"/>
                <w:szCs w:val="18"/>
                <w:lang w:val="ro-MD"/>
              </w:rPr>
              <w:t>(6) Dacă modelul intern include efectul constituirii marjei asupra modificărilor valorii de piață a setului de compensare, în calculele valorii expunerii pentru instrumentele financiare derivate extrabursiere și pentru tranzacțiile de finanțare prin titluri, instituția modelează garanțiile reale, altele decât numerarul în aceeași monedă ca și expunerea în sine, împreună cu expunerea.</w:t>
            </w:r>
          </w:p>
          <w:p w14:paraId="6678AE02" w14:textId="41DD56B7" w:rsidR="00236954" w:rsidRPr="00236954" w:rsidRDefault="00236954" w:rsidP="003456B0">
            <w:pPr>
              <w:pStyle w:val="title-article-norm"/>
              <w:jc w:val="both"/>
              <w:rPr>
                <w:i w:val="0"/>
                <w:sz w:val="18"/>
                <w:szCs w:val="18"/>
                <w:lang w:val="ro-MD"/>
              </w:rPr>
            </w:pPr>
            <w:r w:rsidRPr="00236954">
              <w:rPr>
                <w:i w:val="0"/>
                <w:sz w:val="18"/>
                <w:szCs w:val="18"/>
                <w:lang w:val="ro-MD"/>
              </w:rPr>
              <w:t>(7) Dacă nu poate modela garanțiile reale împreună cu expunerea, instituția nu recunoaște, în calculele valorii expunerii pentru instrumentele financiare derivate extrabursiere, efectul garanțiilor reale, altele decât numerarul în aceeași monedă ca și expunerea în sine, cu excepția cazului în care instituția utilizează ajustările de volatilitate în temeiul abordării bazate pe ajustări de volatilitate reglementate în conformitate cu capitolul 4.</w:t>
            </w:r>
          </w:p>
          <w:p w14:paraId="32C1C1CA" w14:textId="3A206996" w:rsidR="00236954" w:rsidRPr="00236954" w:rsidRDefault="00236954" w:rsidP="003456B0">
            <w:pPr>
              <w:pStyle w:val="title-article-norm"/>
              <w:jc w:val="both"/>
              <w:rPr>
                <w:i w:val="0"/>
                <w:sz w:val="18"/>
                <w:szCs w:val="18"/>
                <w:lang w:val="ro-MD"/>
              </w:rPr>
            </w:pPr>
            <w:r w:rsidRPr="00236954">
              <w:rPr>
                <w:i w:val="0"/>
                <w:sz w:val="18"/>
                <w:szCs w:val="18"/>
                <w:lang w:val="ro-MD"/>
              </w:rPr>
              <w:lastRenderedPageBreak/>
              <w:t>(7a) Dacă nu poate modela garanțiile reale împreună cu expunerea, instituția nu recunoaște, în calculele valorii expunerii pentru operațiuni de finanțare prin instrumente financiare, efectul garanțiilor reale, altele decât numerarul în aceeași monedă ca și expunerea în sine.</w:t>
            </w:r>
          </w:p>
          <w:p w14:paraId="52CA799C" w14:textId="635047CD" w:rsidR="00236954" w:rsidRPr="00A96E09" w:rsidRDefault="00236954" w:rsidP="003456B0">
            <w:pPr>
              <w:pStyle w:val="title-article-norm"/>
              <w:jc w:val="both"/>
              <w:rPr>
                <w:i w:val="0"/>
                <w:sz w:val="18"/>
                <w:szCs w:val="18"/>
                <w:lang w:val="ro-MD"/>
              </w:rPr>
            </w:pPr>
            <w:r w:rsidRPr="00236954">
              <w:rPr>
                <w:i w:val="0"/>
                <w:sz w:val="18"/>
                <w:szCs w:val="18"/>
                <w:lang w:val="ro-MD"/>
              </w:rPr>
              <w:t>(8)   O instituție care utilizează MMI ignoră în modelele sale efectul reducerii valorii expunerii ca urmare a oricărei clauze a unui acord de garanție reală, care solicită primirea garanției reale în cazul în care calitatea creditului contrapărții se deteriorează.</w:t>
            </w:r>
          </w:p>
        </w:tc>
        <w:tc>
          <w:tcPr>
            <w:tcW w:w="4356" w:type="dxa"/>
          </w:tcPr>
          <w:p w14:paraId="776E4AA2" w14:textId="77777777" w:rsidR="001E50C8" w:rsidRPr="008070DB" w:rsidRDefault="001E50C8" w:rsidP="003456B0">
            <w:pPr>
              <w:jc w:val="both"/>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3-a</w:t>
            </w:r>
          </w:p>
          <w:p w14:paraId="5D322BFA" w14:textId="77777777" w:rsidR="001E50C8" w:rsidRPr="008070DB" w:rsidRDefault="001E50C8" w:rsidP="003456B0">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Valoarea expunerii pentru seturile de compensare care fac obiectul unui contract în marjă</w:t>
            </w:r>
          </w:p>
          <w:p w14:paraId="68CDEADD" w14:textId="6EC5015A" w:rsidR="001E50C8" w:rsidRPr="008070DB" w:rsidRDefault="001E50C8" w:rsidP="003456B0">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79</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Dacă setul de compensare face obiectul unui contract în marjă și al evaluării zilnice la prețul pieței, banca calculează expunerea pozitivă așteptată efectivă în conformitate cu prezentul punct. Dacă, la estimarea expunerii așteptate, modelul reflectă efectele constituirii marjei, banca poate, cu aprobarea Băncii Naționale a Moldovei, să utilizeze măsurarea prin intermediul modelului a expunerii așteptate direct în ecuația de la </w:t>
            </w:r>
            <w:r w:rsidRPr="008070DB">
              <w:rPr>
                <w:color w:val="000000"/>
                <w:sz w:val="18"/>
                <w:szCs w:val="18"/>
                <w:highlight w:val="lightGray"/>
                <w:shd w:val="clear" w:color="auto" w:fill="FFFFFF"/>
                <w:lang w:val="ro-MD" w:eastAsia="ro-MD"/>
              </w:rPr>
              <w:t>punctul 170.</w:t>
            </w:r>
            <w:r w:rsidRPr="008070DB">
              <w:rPr>
                <w:color w:val="000000"/>
                <w:sz w:val="18"/>
                <w:szCs w:val="18"/>
                <w:shd w:val="clear" w:color="auto" w:fill="FFFFFF"/>
                <w:lang w:val="ro-MD" w:eastAsia="ro-MD"/>
              </w:rPr>
              <w:t xml:space="preserve"> Banca Națională a Moldovei acordă o astfel de aprobare numai dacă verifică faptul că, la estimarea expunerii așteptate, modelul reflectă în mod corect efectele constituirii marjei. Banca care nu a primit o astfel de aprobare utilizează una din următoarele măsurări ale expunerii pozitive așteptate efective:</w:t>
            </w:r>
          </w:p>
          <w:p w14:paraId="3EB80058" w14:textId="21110050"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79</w:t>
            </w:r>
            <w:r w:rsidRPr="008070DB">
              <w:rPr>
                <w:color w:val="000000"/>
                <w:sz w:val="18"/>
                <w:szCs w:val="18"/>
                <w:shd w:val="clear" w:color="auto" w:fill="FFFFFF"/>
                <w:lang w:val="ro-MD" w:eastAsia="ro-MD"/>
              </w:rPr>
              <w:t>.1. expunerea pozitivă așteptată efectivă, calculată fără a lua în considerare vreo garanție reală deținută sau furnizată prin constituirea marjei, plus orice garanție reală furnizată contrapărții independent de procesul de evaluare zilnică și de constituire a marjei sau de expunerea curentă;</w:t>
            </w:r>
          </w:p>
          <w:p w14:paraId="33F20490" w14:textId="49FAF9B8"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79</w:t>
            </w:r>
            <w:r w:rsidRPr="008070DB">
              <w:rPr>
                <w:color w:val="000000"/>
                <w:sz w:val="18"/>
                <w:szCs w:val="18"/>
                <w:shd w:val="clear" w:color="auto" w:fill="FFFFFF"/>
                <w:lang w:val="ro-MD" w:eastAsia="ro-MD"/>
              </w:rPr>
              <w:t>.2. expunerea pozitivă așteptată efectivă, calculată ca creșterea potențială a expunerii pe parcursul perioadei de risc de marjă, plus valoarea mai mare dintre:</w:t>
            </w:r>
          </w:p>
          <w:p w14:paraId="66A5E4EC" w14:textId="6430C6EE"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79</w:t>
            </w:r>
            <w:r w:rsidRPr="008070DB">
              <w:rPr>
                <w:color w:val="000000"/>
                <w:sz w:val="18"/>
                <w:szCs w:val="18"/>
                <w:shd w:val="clear" w:color="auto" w:fill="FFFFFF"/>
                <w:lang w:val="ro-MD" w:eastAsia="ro-MD"/>
              </w:rPr>
              <w:t>.2.1. expunerea curentă, inclusiv orice garanții reale deținute sau furnizate la momentul respectiv, altele decât garanțiile reale care fac obiectul unui apel în marjă sau unui litigiu;</w:t>
            </w:r>
          </w:p>
          <w:p w14:paraId="054C1F0F" w14:textId="19FE3246"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79</w:t>
            </w:r>
            <w:r w:rsidRPr="008070DB">
              <w:rPr>
                <w:color w:val="000000"/>
                <w:sz w:val="18"/>
                <w:szCs w:val="18"/>
                <w:shd w:val="clear" w:color="auto" w:fill="FFFFFF"/>
                <w:lang w:val="ro-MD" w:eastAsia="ro-MD"/>
              </w:rPr>
              <w:t>.2.2. cea mai mare expunere netă, inclusiv garanțiile reale din cadrul contractului în marjă, care nu declanșează un apel în marjă. Această sumă trebuie să ia în considerare toate pragurile aplicabile, sumele minime ale transferurilor, sumele independente și marjele inițiale, aplicabile în temeiul contractului în marjă.</w:t>
            </w:r>
          </w:p>
          <w:p w14:paraId="54503673" w14:textId="046FEA26" w:rsidR="001E50C8" w:rsidRPr="00841505" w:rsidRDefault="001E50C8" w:rsidP="003456B0">
            <w:pPr>
              <w:jc w:val="both"/>
              <w:rPr>
                <w:color w:val="000000"/>
                <w:sz w:val="18"/>
                <w:szCs w:val="18"/>
                <w:highlight w:val="lightGray"/>
                <w:shd w:val="clear" w:color="auto" w:fill="FFFFFF"/>
                <w:lang w:val="ro-MD" w:eastAsia="ro-MD"/>
              </w:rPr>
            </w:pPr>
            <w:r w:rsidRPr="008070DB">
              <w:rPr>
                <w:b/>
                <w:bCs/>
                <w:color w:val="000000"/>
                <w:sz w:val="18"/>
                <w:szCs w:val="18"/>
                <w:shd w:val="clear" w:color="auto" w:fill="FFFFFF"/>
                <w:lang w:val="ro-MD" w:eastAsia="ro-MD"/>
              </w:rPr>
              <w:t>18</w:t>
            </w:r>
            <w:r w:rsidR="00841505">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În sensul subpunctului 1</w:t>
            </w:r>
            <w:r w:rsidR="00841505">
              <w:rPr>
                <w:color w:val="000000"/>
                <w:sz w:val="18"/>
                <w:szCs w:val="18"/>
                <w:shd w:val="clear" w:color="auto" w:fill="FFFFFF"/>
                <w:lang w:val="ro-MD" w:eastAsia="ro-MD"/>
              </w:rPr>
              <w:t>79</w:t>
            </w:r>
            <w:r w:rsidRPr="008070DB">
              <w:rPr>
                <w:color w:val="000000"/>
                <w:sz w:val="18"/>
                <w:szCs w:val="18"/>
                <w:shd w:val="clear" w:color="auto" w:fill="FFFFFF"/>
                <w:lang w:val="ro-MD" w:eastAsia="ro-MD"/>
              </w:rPr>
              <w:t xml:space="preserve">.2., băncile calculează procentul ca modificare pozitivă așteptată a valorii de </w:t>
            </w:r>
            <w:r w:rsidRPr="008070DB">
              <w:rPr>
                <w:color w:val="000000"/>
                <w:sz w:val="18"/>
                <w:szCs w:val="18"/>
                <w:shd w:val="clear" w:color="auto" w:fill="FFFFFF"/>
                <w:lang w:val="ro-MD" w:eastAsia="ro-MD"/>
              </w:rPr>
              <w:t xml:space="preserve">marcare la piață a tranzacțiilor pe parcursul perioadei de risc de marjă. Modificările valorii garanției reale trebuie luate în considerare prin utilizarea ajustărilor de volatilitate reglementate în conformitate </w:t>
            </w:r>
            <w:r w:rsidRPr="008070DB">
              <w:rPr>
                <w:iCs/>
                <w:sz w:val="18"/>
                <w:szCs w:val="18"/>
                <w:lang w:val="ro-MD" w:eastAsia="ro-MD"/>
              </w:rPr>
              <w:t>cu prevederile titlului IV din Regulamentul nr.112/2018</w:t>
            </w:r>
            <w:r w:rsidRPr="008070DB">
              <w:rPr>
                <w:color w:val="000000"/>
                <w:sz w:val="18"/>
                <w:szCs w:val="18"/>
                <w:shd w:val="clear" w:color="auto" w:fill="FFFFFF"/>
                <w:lang w:val="ro-MD" w:eastAsia="ro-MD"/>
              </w:rPr>
              <w:t xml:space="preserve">, sau a estimărilor proprii pentru ajustările de volatilitate ale metodei extinse a garanțiilor financiare, dar fără să se presupună plata vreunei garanții reale în perioada de risc de marjă. Perioada de risc de marjă nu poate fi mai mică decât perioadele minime prevăzute la </w:t>
            </w:r>
            <w:r w:rsidRPr="008070DB">
              <w:rPr>
                <w:color w:val="000000"/>
                <w:sz w:val="18"/>
                <w:szCs w:val="18"/>
                <w:highlight w:val="lightGray"/>
                <w:shd w:val="clear" w:color="auto" w:fill="FFFFFF"/>
                <w:lang w:val="ro-MD" w:eastAsia="ro-MD"/>
              </w:rPr>
              <w:t>punctele 1</w:t>
            </w:r>
            <w:r w:rsidR="00841505">
              <w:rPr>
                <w:color w:val="000000"/>
                <w:sz w:val="18"/>
                <w:szCs w:val="18"/>
                <w:highlight w:val="lightGray"/>
                <w:shd w:val="clear" w:color="auto" w:fill="FFFFFF"/>
                <w:lang w:val="ro-MD" w:eastAsia="ro-MD"/>
              </w:rPr>
              <w:t>81</w:t>
            </w:r>
            <w:r w:rsidRPr="008070DB">
              <w:rPr>
                <w:color w:val="000000"/>
                <w:sz w:val="18"/>
                <w:szCs w:val="18"/>
                <w:highlight w:val="lightGray"/>
                <w:shd w:val="clear" w:color="auto" w:fill="FFFFFF"/>
                <w:lang w:val="ro-MD" w:eastAsia="ro-MD"/>
              </w:rPr>
              <w:t>-1</w:t>
            </w:r>
            <w:r w:rsidR="00841505">
              <w:rPr>
                <w:color w:val="000000"/>
                <w:sz w:val="18"/>
                <w:szCs w:val="18"/>
                <w:highlight w:val="lightGray"/>
                <w:shd w:val="clear" w:color="auto" w:fill="FFFFFF"/>
                <w:lang w:val="ro-MD" w:eastAsia="ro-MD"/>
              </w:rPr>
              <w:t>86</w:t>
            </w:r>
            <w:r w:rsidRPr="008070DB">
              <w:rPr>
                <w:color w:val="000000"/>
                <w:sz w:val="18"/>
                <w:szCs w:val="18"/>
                <w:highlight w:val="lightGray"/>
                <w:shd w:val="clear" w:color="auto" w:fill="FFFFFF"/>
                <w:lang w:val="ro-MD" w:eastAsia="ro-MD"/>
              </w:rPr>
              <w:t>.</w:t>
            </w:r>
          </w:p>
          <w:p w14:paraId="2445B5DE" w14:textId="277994D4" w:rsidR="001E50C8" w:rsidRPr="008070DB" w:rsidRDefault="001E50C8" w:rsidP="003456B0">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81</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În cazul tranzacțiilor supuse ajustării zilnice a marjei și evaluării zilnice la prețul pieței, perioada de risc de marjă utilizată pentru modelarea valorii expunerii cu contracte în marjă nu trebuie să fie mai mică de:</w:t>
            </w:r>
          </w:p>
          <w:p w14:paraId="215EC231" w14:textId="6FF2A7EE"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81</w:t>
            </w:r>
            <w:r w:rsidRPr="008070DB">
              <w:rPr>
                <w:color w:val="000000"/>
                <w:sz w:val="18"/>
                <w:szCs w:val="18"/>
                <w:shd w:val="clear" w:color="auto" w:fill="FFFFFF"/>
                <w:lang w:val="ro-MD" w:eastAsia="ro-MD"/>
              </w:rPr>
              <w:t>.1.  5 zile lucrătoare pentru seturile de compensare care constau numai în tranzacții de răscumpărare, în operațiuni de dare sau luare de titluri sau mărfuri cu împrumut și în tranzacții de creditare în marjă;</w:t>
            </w:r>
          </w:p>
          <w:p w14:paraId="4B4CA2A6" w14:textId="0B8F0A5F"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81</w:t>
            </w:r>
            <w:r w:rsidRPr="008070DB">
              <w:rPr>
                <w:color w:val="000000"/>
                <w:sz w:val="18"/>
                <w:szCs w:val="18"/>
                <w:shd w:val="clear" w:color="auto" w:fill="FFFFFF"/>
                <w:lang w:val="ro-MD" w:eastAsia="ro-MD"/>
              </w:rPr>
              <w:t>.2. 10 zile lucrătoare pentru toate celelalte seturi de compensare.</w:t>
            </w:r>
          </w:p>
          <w:p w14:paraId="560893C5" w14:textId="25FDA0DD" w:rsidR="001E50C8" w:rsidRPr="008070DB" w:rsidRDefault="001E50C8" w:rsidP="003456B0">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Prevederile </w:t>
            </w:r>
            <w:r w:rsidRPr="008070DB">
              <w:rPr>
                <w:color w:val="000000"/>
                <w:sz w:val="18"/>
                <w:szCs w:val="18"/>
                <w:highlight w:val="lightGray"/>
                <w:shd w:val="clear" w:color="auto" w:fill="FFFFFF"/>
                <w:lang w:val="ro-MD" w:eastAsia="ro-MD"/>
              </w:rPr>
              <w:t>punctului 1</w:t>
            </w:r>
            <w:r w:rsidR="00841505">
              <w:rPr>
                <w:color w:val="000000"/>
                <w:sz w:val="18"/>
                <w:szCs w:val="18"/>
                <w:shd w:val="clear" w:color="auto" w:fill="FFFFFF"/>
                <w:lang w:val="ro-MD" w:eastAsia="ro-MD"/>
              </w:rPr>
              <w:t>81</w:t>
            </w:r>
            <w:r w:rsidRPr="008070DB">
              <w:rPr>
                <w:color w:val="000000"/>
                <w:sz w:val="18"/>
                <w:szCs w:val="18"/>
                <w:shd w:val="clear" w:color="auto" w:fill="FFFFFF"/>
                <w:lang w:val="ro-MD" w:eastAsia="ro-MD"/>
              </w:rPr>
              <w:t xml:space="preserve"> fac obiectul următoarelor excepții:</w:t>
            </w:r>
          </w:p>
          <w:p w14:paraId="2219C1C3" w14:textId="07A72886"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82</w:t>
            </w:r>
            <w:r w:rsidRPr="008070DB">
              <w:rPr>
                <w:color w:val="000000"/>
                <w:sz w:val="18"/>
                <w:szCs w:val="18"/>
                <w:shd w:val="clear" w:color="auto" w:fill="FFFFFF"/>
                <w:lang w:val="ro-MD" w:eastAsia="ro-MD"/>
              </w:rPr>
              <w:t>.1. pentru toate seturile de compensare în care numărul tranzacțiilor depășește 5 000 în orice moment din cursul unui trimestru, perioada de risc de marjă pentru trimestrul următor nu trebuie să fie mai mică de 20 de zile lucrătoare. Această excepție nu se aplică expunerilor din tranzacții ale băncilor;</w:t>
            </w:r>
          </w:p>
          <w:p w14:paraId="512B1D78" w14:textId="4F4B4EC7" w:rsidR="001E50C8" w:rsidRPr="008070DB" w:rsidRDefault="001E50C8" w:rsidP="003456B0">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1</w:t>
            </w:r>
            <w:r w:rsidR="00841505">
              <w:rPr>
                <w:color w:val="000000"/>
                <w:sz w:val="18"/>
                <w:szCs w:val="18"/>
                <w:shd w:val="clear" w:color="auto" w:fill="FFFFFF"/>
                <w:lang w:val="ro-MD" w:eastAsia="ro-MD"/>
              </w:rPr>
              <w:t>82</w:t>
            </w:r>
            <w:r w:rsidRPr="008070DB">
              <w:rPr>
                <w:color w:val="000000"/>
                <w:sz w:val="18"/>
                <w:szCs w:val="18"/>
                <w:shd w:val="clear" w:color="auto" w:fill="FFFFFF"/>
                <w:lang w:val="ro-MD" w:eastAsia="ro-MD"/>
              </w:rPr>
              <w:t>.2. pentru seturile de compensare care conțin una sau mai multe tranzacții implicând fie garanții reale nelichide, fie un instrument financiar derivat extrabursier care nu poate fi ușor înlocuit, perioada de risc de marjă nu trebuie să fie mai mică de 20 de zile lucrătoare.</w:t>
            </w:r>
          </w:p>
          <w:p w14:paraId="7E16774E" w14:textId="725C7304" w:rsidR="001E50C8" w:rsidRPr="008070DB" w:rsidRDefault="001E50C8" w:rsidP="003456B0">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stabilește faptul că garanția reală este nelichidă sau că instrumentele financiare derivate extrabursiere nu pot fi ușor înlocuite, în contextul unor condiții de criză a pieței, caracterizate prin lipsa piețelor active în mod continuu, în care o contraparte ar obține, într-un termen de două zile sau mai scurt, mai multe cotații de preț care nu ar provoca mișcări pe piață sau nu </w:t>
            </w:r>
            <w:r w:rsidRPr="008070DB">
              <w:rPr>
                <w:color w:val="000000"/>
                <w:sz w:val="18"/>
                <w:szCs w:val="18"/>
                <w:shd w:val="clear" w:color="auto" w:fill="FFFFFF"/>
                <w:lang w:val="ro-MD" w:eastAsia="ro-MD"/>
              </w:rPr>
              <w:lastRenderedPageBreak/>
              <w:t>ar reprezenta un preț reflectând un discount pe piață (în cazul garanției reale) sau o primă pe piață (în cazul unui instrument financiar derivat extrabursier).</w:t>
            </w:r>
          </w:p>
          <w:p w14:paraId="3EEBEF0F" w14:textId="15033A0C" w:rsidR="001E50C8" w:rsidRPr="008070DB" w:rsidRDefault="001E50C8" w:rsidP="003456B0">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84</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stabilească dacă tranzacțiile sau titlurile pe care le deține drept garanții reale sunt concentrate pe o anumită contraparte și dacă este în măsură, în cazul în care contrapartea respectivă iese de pe piață în mod precipitat, să înlocuiască aceste tranzacții sau titluri.</w:t>
            </w:r>
          </w:p>
          <w:p w14:paraId="7C3EF8DF" w14:textId="0EF16E33" w:rsidR="001E50C8" w:rsidRPr="008070DB" w:rsidRDefault="001E50C8" w:rsidP="003456B0">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Dacă banca a fost implicată în mai mult de două litigii privind apeluri în marjă pentru un anumit set de compensare în ultimele două trimestre, care au durat mai mult decât perioada de risc de marjă aplicabilă în temeiul </w:t>
            </w:r>
            <w:r w:rsidRPr="008070DB">
              <w:rPr>
                <w:color w:val="000000"/>
                <w:sz w:val="18"/>
                <w:szCs w:val="18"/>
                <w:highlight w:val="lightGray"/>
                <w:shd w:val="clear" w:color="auto" w:fill="FFFFFF"/>
                <w:lang w:val="ro-MD" w:eastAsia="ro-MD"/>
              </w:rPr>
              <w:t>punctelor 1</w:t>
            </w:r>
            <w:r w:rsidR="00841505">
              <w:rPr>
                <w:color w:val="000000"/>
                <w:sz w:val="18"/>
                <w:szCs w:val="18"/>
                <w:highlight w:val="lightGray"/>
                <w:shd w:val="clear" w:color="auto" w:fill="FFFFFF"/>
                <w:lang w:val="ro-MD" w:eastAsia="ro-MD"/>
              </w:rPr>
              <w:t>81</w:t>
            </w:r>
            <w:r w:rsidRPr="008070DB">
              <w:rPr>
                <w:color w:val="000000"/>
                <w:sz w:val="18"/>
                <w:szCs w:val="18"/>
                <w:highlight w:val="lightGray"/>
                <w:shd w:val="clear" w:color="auto" w:fill="FFFFFF"/>
                <w:lang w:val="ro-MD" w:eastAsia="ro-MD"/>
              </w:rPr>
              <w:t>-1</w:t>
            </w:r>
            <w:r w:rsidR="00841505">
              <w:rPr>
                <w:color w:val="000000"/>
                <w:sz w:val="18"/>
                <w:szCs w:val="18"/>
                <w:shd w:val="clear" w:color="auto" w:fill="FFFFFF"/>
                <w:lang w:val="ro-MD" w:eastAsia="ro-MD"/>
              </w:rPr>
              <w:t>84</w:t>
            </w:r>
            <w:r w:rsidRPr="008070DB">
              <w:rPr>
                <w:color w:val="000000"/>
                <w:sz w:val="18"/>
                <w:szCs w:val="18"/>
                <w:shd w:val="clear" w:color="auto" w:fill="FFFFFF"/>
                <w:lang w:val="ro-MD" w:eastAsia="ro-MD"/>
              </w:rPr>
              <w:t xml:space="preserve">, aceasta trebuie să utilizeze, pentru următoarele două trimestre, o perioadă de risc de marjă cel puțin dublă față de perioada specificată la </w:t>
            </w:r>
            <w:r w:rsidRPr="008070DB">
              <w:rPr>
                <w:color w:val="000000"/>
                <w:sz w:val="18"/>
                <w:szCs w:val="18"/>
                <w:highlight w:val="lightGray"/>
                <w:shd w:val="clear" w:color="auto" w:fill="FFFFFF"/>
                <w:lang w:val="ro-MD" w:eastAsia="ro-MD"/>
              </w:rPr>
              <w:t>punctele 1</w:t>
            </w:r>
            <w:r w:rsidR="00841505">
              <w:rPr>
                <w:color w:val="000000"/>
                <w:sz w:val="18"/>
                <w:szCs w:val="18"/>
                <w:highlight w:val="lightGray"/>
                <w:shd w:val="clear" w:color="auto" w:fill="FFFFFF"/>
                <w:lang w:val="ro-MD" w:eastAsia="ro-MD"/>
              </w:rPr>
              <w:t>81</w:t>
            </w:r>
            <w:r w:rsidRPr="008070DB">
              <w:rPr>
                <w:color w:val="000000"/>
                <w:sz w:val="18"/>
                <w:szCs w:val="18"/>
                <w:highlight w:val="lightGray"/>
                <w:shd w:val="clear" w:color="auto" w:fill="FFFFFF"/>
                <w:lang w:val="ro-MD" w:eastAsia="ro-MD"/>
              </w:rPr>
              <w:t>-1</w:t>
            </w:r>
            <w:r w:rsidR="00841505">
              <w:rPr>
                <w:color w:val="000000"/>
                <w:sz w:val="18"/>
                <w:szCs w:val="18"/>
                <w:shd w:val="clear" w:color="auto" w:fill="FFFFFF"/>
                <w:lang w:val="ro-MD" w:eastAsia="ro-MD"/>
              </w:rPr>
              <w:t>84</w:t>
            </w:r>
            <w:r w:rsidRPr="008070DB">
              <w:rPr>
                <w:color w:val="000000"/>
                <w:sz w:val="18"/>
                <w:szCs w:val="18"/>
                <w:shd w:val="clear" w:color="auto" w:fill="FFFFFF"/>
                <w:lang w:val="ro-MD" w:eastAsia="ro-MD"/>
              </w:rPr>
              <w:t xml:space="preserve"> pentru setul de compensare respectiv.</w:t>
            </w:r>
          </w:p>
          <w:p w14:paraId="16DE8ED5" w14:textId="513320A4" w:rsidR="001E50C8" w:rsidRPr="008070DB" w:rsidRDefault="001E50C8" w:rsidP="003456B0">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Pentru reconstituirea marjei cu o periodicitate de N de zile, perioada de risc de marjă trebuie să fie cel puțin egală cu perioada specificată la </w:t>
            </w:r>
            <w:r w:rsidRPr="008070DB">
              <w:rPr>
                <w:color w:val="000000"/>
                <w:sz w:val="18"/>
                <w:szCs w:val="18"/>
                <w:highlight w:val="lightGray"/>
                <w:shd w:val="clear" w:color="auto" w:fill="FFFFFF"/>
                <w:lang w:val="ro-MD" w:eastAsia="ro-MD"/>
              </w:rPr>
              <w:t>punctele 1</w:t>
            </w:r>
            <w:r w:rsidR="00841505">
              <w:rPr>
                <w:color w:val="000000"/>
                <w:sz w:val="18"/>
                <w:szCs w:val="18"/>
                <w:highlight w:val="lightGray"/>
                <w:shd w:val="clear" w:color="auto" w:fill="FFFFFF"/>
                <w:lang w:val="ro-MD" w:eastAsia="ro-MD"/>
              </w:rPr>
              <w:t>81</w:t>
            </w:r>
            <w:r w:rsidRPr="008070DB">
              <w:rPr>
                <w:color w:val="000000"/>
                <w:sz w:val="18"/>
                <w:szCs w:val="18"/>
                <w:highlight w:val="lightGray"/>
                <w:shd w:val="clear" w:color="auto" w:fill="FFFFFF"/>
                <w:lang w:val="ro-MD" w:eastAsia="ro-MD"/>
              </w:rPr>
              <w:t>-1</w:t>
            </w:r>
            <w:r w:rsidR="00841505">
              <w:rPr>
                <w:color w:val="000000"/>
                <w:sz w:val="18"/>
                <w:szCs w:val="18"/>
                <w:shd w:val="clear" w:color="auto" w:fill="FFFFFF"/>
                <w:lang w:val="ro-MD" w:eastAsia="ro-MD"/>
              </w:rPr>
              <w:t>84</w:t>
            </w:r>
            <w:r w:rsidRPr="008070DB">
              <w:rPr>
                <w:color w:val="000000"/>
                <w:sz w:val="18"/>
                <w:szCs w:val="18"/>
                <w:shd w:val="clear" w:color="auto" w:fill="FFFFFF"/>
                <w:lang w:val="ro-MD" w:eastAsia="ro-MD"/>
              </w:rPr>
              <w:t>, F, plus N zile minus o zi. Respectiv:</w:t>
            </w:r>
          </w:p>
          <w:p w14:paraId="731A32C1" w14:textId="77777777" w:rsidR="001E50C8" w:rsidRPr="008070DB" w:rsidRDefault="001E50C8" w:rsidP="003456B0">
            <w:pPr>
              <w:jc w:val="both"/>
              <w:rPr>
                <w:b/>
                <w:bCs/>
                <w:color w:val="000000"/>
                <w:sz w:val="18"/>
                <w:szCs w:val="18"/>
                <w:shd w:val="clear" w:color="auto" w:fill="FFFFFF"/>
                <w:lang w:val="ro-MD" w:eastAsia="ro-MD"/>
              </w:rPr>
            </w:pPr>
            <w:r w:rsidRPr="008070DB">
              <w:rPr>
                <w:b/>
                <w:bCs/>
                <w:i/>
                <w:iCs/>
                <w:color w:val="000000"/>
                <w:sz w:val="18"/>
                <w:szCs w:val="18"/>
                <w:shd w:val="clear" w:color="auto" w:fill="FFFFFF"/>
                <w:lang w:val="ro-MD" w:eastAsia="ro-MD"/>
              </w:rPr>
              <w:t>Perioada de risc de marjă</w:t>
            </w:r>
            <w:r w:rsidRPr="008070DB">
              <w:rPr>
                <w:b/>
                <w:bCs/>
                <w:color w:val="000000"/>
                <w:sz w:val="18"/>
                <w:szCs w:val="18"/>
                <w:shd w:val="clear" w:color="auto" w:fill="FFFFFF"/>
                <w:lang w:val="ro-MD" w:eastAsia="ro-MD"/>
              </w:rPr>
              <w:t> = </w:t>
            </w:r>
            <w:r w:rsidRPr="008070DB">
              <w:rPr>
                <w:b/>
                <w:bCs/>
                <w:i/>
                <w:iCs/>
                <w:color w:val="000000"/>
                <w:sz w:val="18"/>
                <w:szCs w:val="18"/>
                <w:shd w:val="clear" w:color="auto" w:fill="FFFFFF"/>
                <w:lang w:val="ro-MD" w:eastAsia="ro-MD"/>
              </w:rPr>
              <w:t>F + N</w:t>
            </w:r>
            <w:r w:rsidRPr="008070DB">
              <w:rPr>
                <w:b/>
                <w:bCs/>
                <w:color w:val="000000"/>
                <w:sz w:val="18"/>
                <w:szCs w:val="18"/>
                <w:shd w:val="clear" w:color="auto" w:fill="FFFFFF"/>
                <w:lang w:val="ro-MD" w:eastAsia="ro-MD"/>
              </w:rPr>
              <w:t> – 1</w:t>
            </w:r>
          </w:p>
          <w:p w14:paraId="4F1A0ADA" w14:textId="4154E653" w:rsidR="001E50C8" w:rsidRPr="008070DB" w:rsidRDefault="001E50C8" w:rsidP="003456B0">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87</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Dacă modelul intern include efectul constituirii marjei asupra modificărilor valorii de piață a setului de compensare, în calculele valorii expunerii pentru instrumentele financiare derivate extrabursiere și pentru tranzacțiile de finanțare prin titluri, banca modelează garanțiile reale, altele decât numerarul în aceeași monedă ca și expunerea în sine, împreună cu expunerea.</w:t>
            </w:r>
          </w:p>
          <w:p w14:paraId="351F2709" w14:textId="150CA387" w:rsidR="001E50C8" w:rsidRPr="008070DB" w:rsidRDefault="001E50C8" w:rsidP="003456B0">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88</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Dacă nu poate modela garanțiile reale împreună cu expunerea, instituția nu recunoaște, în calculele valorii expunerii pentru instrumentele financiare derivate extrabursiere, efectul garanțiilor reale, altele decât numerarul în aceeași monedă ca și expunerea în sine, cu excepția cazului în care banca utilizează ajustările de volatilitate în temeiul abordării bazate pe ajustări de volatilitate reglementate în conformitate cu prevederile </w:t>
            </w:r>
            <w:r w:rsidRPr="008070DB">
              <w:rPr>
                <w:iCs/>
                <w:color w:val="000000"/>
                <w:sz w:val="18"/>
                <w:szCs w:val="18"/>
                <w:shd w:val="clear" w:color="auto" w:fill="FFFFFF"/>
                <w:lang w:val="ro-MD" w:eastAsia="ro-MD"/>
              </w:rPr>
              <w:t>Regulamentului nr.112/2018</w:t>
            </w:r>
            <w:r w:rsidRPr="008070DB">
              <w:rPr>
                <w:color w:val="000000"/>
                <w:sz w:val="18"/>
                <w:szCs w:val="18"/>
                <w:shd w:val="clear" w:color="auto" w:fill="FFFFFF"/>
                <w:lang w:val="ro-MD" w:eastAsia="ro-MD"/>
              </w:rPr>
              <w:t>.</w:t>
            </w:r>
          </w:p>
          <w:p w14:paraId="072955F2" w14:textId="2E22A8CB" w:rsidR="001E50C8" w:rsidRPr="008070DB" w:rsidRDefault="001E50C8" w:rsidP="003456B0">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1</w:t>
            </w:r>
            <w:r w:rsidR="00841505">
              <w:rPr>
                <w:b/>
                <w:bCs/>
                <w:color w:val="000000"/>
                <w:sz w:val="18"/>
                <w:szCs w:val="18"/>
                <w:shd w:val="clear" w:color="auto" w:fill="FFFFFF"/>
                <w:lang w:val="ro-MD" w:eastAsia="ro-MD"/>
              </w:rPr>
              <w:t>89</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Dacă nu poate modela garanțiile reale împreună cu expunerea, banca nu recunoaște, în calculele valorii expunerii pentru operațiuni de finanțare prin instrumente </w:t>
            </w:r>
            <w:r w:rsidRPr="008070DB">
              <w:rPr>
                <w:color w:val="000000"/>
                <w:sz w:val="18"/>
                <w:szCs w:val="18"/>
                <w:shd w:val="clear" w:color="auto" w:fill="FFFFFF"/>
                <w:lang w:val="ro-MD" w:eastAsia="ro-MD"/>
              </w:rPr>
              <w:lastRenderedPageBreak/>
              <w:t>financiare, efectul garanțiilor reale, altele decât numerarul în aceeași monedă ca și expunerea în sine.</w:t>
            </w:r>
          </w:p>
          <w:p w14:paraId="1A2BE9AD" w14:textId="08947C00" w:rsidR="00236954" w:rsidRPr="008070DB" w:rsidRDefault="001E50C8" w:rsidP="003456B0">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19</w:t>
            </w:r>
            <w:r w:rsidR="00841505">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care utilizează </w:t>
            </w:r>
            <w:r w:rsidRPr="008070DB">
              <w:rPr>
                <w:sz w:val="18"/>
                <w:szCs w:val="18"/>
                <w:lang w:val="ro-MD" w:eastAsia="ro-MD"/>
              </w:rPr>
              <w:t>metoda modelului intern</w:t>
            </w:r>
            <w:r w:rsidRPr="008070DB">
              <w:rPr>
                <w:color w:val="000000"/>
                <w:sz w:val="18"/>
                <w:szCs w:val="18"/>
                <w:shd w:val="clear" w:color="auto" w:fill="FFFFFF"/>
                <w:lang w:val="ro-MD" w:eastAsia="ro-MD"/>
              </w:rPr>
              <w:t xml:space="preserve"> ignoră în modelele sale efectul reducerii valorii expunerii ca urmare a oricărei clauze a unui acord de garanție reală, care solicită primirea garanției reale în cazul în care calitatea creditului contrapărții se deteriorează.</w:t>
            </w:r>
          </w:p>
          <w:p w14:paraId="44D02140" w14:textId="77777777" w:rsidR="001E50C8" w:rsidRPr="008070DB" w:rsidRDefault="001E50C8" w:rsidP="003456B0">
            <w:pPr>
              <w:jc w:val="both"/>
              <w:rPr>
                <w:color w:val="000000"/>
                <w:sz w:val="18"/>
                <w:szCs w:val="18"/>
                <w:shd w:val="clear" w:color="auto" w:fill="FFFFFF"/>
                <w:lang w:val="ro-MD" w:eastAsia="ro-MD"/>
              </w:rPr>
            </w:pPr>
          </w:p>
          <w:p w14:paraId="147F68A5" w14:textId="77777777" w:rsidR="001E50C8" w:rsidRPr="008070DB" w:rsidRDefault="001E50C8" w:rsidP="003456B0">
            <w:pPr>
              <w:jc w:val="both"/>
              <w:rPr>
                <w:color w:val="000000"/>
                <w:sz w:val="18"/>
                <w:szCs w:val="18"/>
                <w:shd w:val="clear" w:color="auto" w:fill="FFFFFF"/>
                <w:lang w:val="ro-MD" w:eastAsia="ro-MD"/>
              </w:rPr>
            </w:pPr>
          </w:p>
          <w:p w14:paraId="12DDB9E4" w14:textId="77777777" w:rsidR="001E50C8" w:rsidRPr="008070DB" w:rsidRDefault="001E50C8" w:rsidP="003456B0">
            <w:pPr>
              <w:jc w:val="both"/>
              <w:rPr>
                <w:color w:val="000000"/>
                <w:sz w:val="18"/>
                <w:szCs w:val="18"/>
                <w:shd w:val="clear" w:color="auto" w:fill="FFFFFF"/>
                <w:lang w:val="ro-MD" w:eastAsia="ro-MD"/>
              </w:rPr>
            </w:pPr>
          </w:p>
          <w:p w14:paraId="7C02E35F" w14:textId="77777777" w:rsidR="001E50C8" w:rsidRPr="008070DB" w:rsidRDefault="001E50C8" w:rsidP="003456B0">
            <w:pPr>
              <w:jc w:val="both"/>
              <w:rPr>
                <w:color w:val="000000"/>
                <w:sz w:val="18"/>
                <w:szCs w:val="18"/>
                <w:shd w:val="clear" w:color="auto" w:fill="FFFFFF"/>
                <w:lang w:val="ro-MD" w:eastAsia="ro-MD"/>
              </w:rPr>
            </w:pPr>
          </w:p>
          <w:p w14:paraId="5A40B721" w14:textId="77777777" w:rsidR="001E50C8" w:rsidRPr="008070DB" w:rsidRDefault="001E50C8" w:rsidP="003456B0">
            <w:pPr>
              <w:jc w:val="both"/>
              <w:rPr>
                <w:color w:val="000000"/>
                <w:sz w:val="18"/>
                <w:szCs w:val="18"/>
                <w:shd w:val="clear" w:color="auto" w:fill="FFFFFF"/>
                <w:lang w:val="ro-MD" w:eastAsia="ro-MD"/>
              </w:rPr>
            </w:pPr>
          </w:p>
          <w:p w14:paraId="413A29FD" w14:textId="77777777" w:rsidR="001E50C8" w:rsidRPr="008070DB" w:rsidRDefault="001E50C8" w:rsidP="003456B0">
            <w:pPr>
              <w:jc w:val="both"/>
              <w:rPr>
                <w:color w:val="000000"/>
                <w:sz w:val="18"/>
                <w:szCs w:val="18"/>
                <w:shd w:val="clear" w:color="auto" w:fill="FFFFFF"/>
                <w:lang w:val="ro-MD" w:eastAsia="ro-MD"/>
              </w:rPr>
            </w:pPr>
          </w:p>
          <w:p w14:paraId="45C0454C" w14:textId="77777777" w:rsidR="001E50C8" w:rsidRPr="008070DB" w:rsidRDefault="001E50C8" w:rsidP="003456B0">
            <w:pPr>
              <w:jc w:val="both"/>
              <w:rPr>
                <w:color w:val="000000"/>
                <w:sz w:val="18"/>
                <w:szCs w:val="18"/>
                <w:shd w:val="clear" w:color="auto" w:fill="FFFFFF"/>
                <w:lang w:val="ro-MD" w:eastAsia="ro-MD"/>
              </w:rPr>
            </w:pPr>
          </w:p>
          <w:p w14:paraId="3F8AD04F" w14:textId="77777777" w:rsidR="001E50C8" w:rsidRPr="008070DB" w:rsidRDefault="001E50C8" w:rsidP="003456B0">
            <w:pPr>
              <w:jc w:val="both"/>
              <w:rPr>
                <w:color w:val="000000"/>
                <w:sz w:val="18"/>
                <w:szCs w:val="18"/>
                <w:shd w:val="clear" w:color="auto" w:fill="FFFFFF"/>
                <w:lang w:val="ro-MD" w:eastAsia="ro-MD"/>
              </w:rPr>
            </w:pPr>
          </w:p>
          <w:p w14:paraId="2D50B999" w14:textId="77777777" w:rsidR="001E50C8" w:rsidRPr="008070DB" w:rsidRDefault="001E50C8" w:rsidP="003456B0">
            <w:pPr>
              <w:jc w:val="both"/>
              <w:rPr>
                <w:color w:val="000000"/>
                <w:sz w:val="18"/>
                <w:szCs w:val="18"/>
                <w:shd w:val="clear" w:color="auto" w:fill="FFFFFF"/>
                <w:lang w:val="ro-MD" w:eastAsia="ro-MD"/>
              </w:rPr>
            </w:pPr>
          </w:p>
          <w:p w14:paraId="79A55806" w14:textId="77777777" w:rsidR="001E50C8" w:rsidRPr="008070DB" w:rsidRDefault="001E50C8" w:rsidP="003456B0">
            <w:pPr>
              <w:jc w:val="both"/>
              <w:rPr>
                <w:color w:val="000000"/>
                <w:sz w:val="18"/>
                <w:szCs w:val="18"/>
                <w:shd w:val="clear" w:color="auto" w:fill="FFFFFF"/>
                <w:lang w:val="ro-MD" w:eastAsia="ro-MD"/>
              </w:rPr>
            </w:pPr>
          </w:p>
          <w:p w14:paraId="3D639859" w14:textId="77777777" w:rsidR="001E50C8" w:rsidRPr="008070DB" w:rsidRDefault="001E50C8" w:rsidP="003456B0">
            <w:pPr>
              <w:jc w:val="both"/>
              <w:rPr>
                <w:color w:val="000000"/>
                <w:sz w:val="18"/>
                <w:szCs w:val="18"/>
                <w:shd w:val="clear" w:color="auto" w:fill="FFFFFF"/>
                <w:lang w:val="ro-MD" w:eastAsia="ro-MD"/>
              </w:rPr>
            </w:pPr>
          </w:p>
          <w:p w14:paraId="7774E4EC" w14:textId="77777777" w:rsidR="001E50C8" w:rsidRPr="008070DB" w:rsidRDefault="001E50C8" w:rsidP="003456B0">
            <w:pPr>
              <w:jc w:val="both"/>
              <w:rPr>
                <w:color w:val="000000"/>
                <w:sz w:val="18"/>
                <w:szCs w:val="18"/>
                <w:shd w:val="clear" w:color="auto" w:fill="FFFFFF"/>
                <w:lang w:val="ro-MD" w:eastAsia="ro-MD"/>
              </w:rPr>
            </w:pPr>
          </w:p>
          <w:p w14:paraId="5CA2F63F" w14:textId="77777777" w:rsidR="001E50C8" w:rsidRPr="008070DB" w:rsidRDefault="001E50C8" w:rsidP="003456B0">
            <w:pPr>
              <w:jc w:val="both"/>
              <w:rPr>
                <w:color w:val="000000"/>
                <w:sz w:val="18"/>
                <w:szCs w:val="18"/>
                <w:shd w:val="clear" w:color="auto" w:fill="FFFFFF"/>
                <w:lang w:val="ro-MD" w:eastAsia="ro-MD"/>
              </w:rPr>
            </w:pPr>
          </w:p>
          <w:p w14:paraId="5897C4AE" w14:textId="77777777" w:rsidR="001E50C8" w:rsidRPr="008070DB" w:rsidRDefault="001E50C8" w:rsidP="003456B0">
            <w:pPr>
              <w:jc w:val="both"/>
              <w:rPr>
                <w:color w:val="000000"/>
                <w:sz w:val="18"/>
                <w:szCs w:val="18"/>
                <w:shd w:val="clear" w:color="auto" w:fill="FFFFFF"/>
                <w:lang w:val="ro-MD" w:eastAsia="ro-MD"/>
              </w:rPr>
            </w:pPr>
          </w:p>
          <w:p w14:paraId="15B98759" w14:textId="77777777" w:rsidR="001E50C8" w:rsidRPr="008070DB" w:rsidRDefault="001E50C8" w:rsidP="003456B0">
            <w:pPr>
              <w:jc w:val="both"/>
              <w:rPr>
                <w:color w:val="000000"/>
                <w:sz w:val="18"/>
                <w:szCs w:val="18"/>
                <w:shd w:val="clear" w:color="auto" w:fill="FFFFFF"/>
                <w:lang w:val="ro-MD" w:eastAsia="ro-MD"/>
              </w:rPr>
            </w:pPr>
          </w:p>
          <w:p w14:paraId="10E59F88" w14:textId="77777777" w:rsidR="001E50C8" w:rsidRPr="008070DB" w:rsidRDefault="001E50C8" w:rsidP="003456B0">
            <w:pPr>
              <w:jc w:val="both"/>
              <w:rPr>
                <w:color w:val="000000"/>
                <w:sz w:val="18"/>
                <w:szCs w:val="18"/>
                <w:shd w:val="clear" w:color="auto" w:fill="FFFFFF"/>
                <w:lang w:val="ro-MD" w:eastAsia="ro-MD"/>
              </w:rPr>
            </w:pPr>
          </w:p>
          <w:p w14:paraId="4A031458" w14:textId="77777777" w:rsidR="001E50C8" w:rsidRPr="008070DB" w:rsidRDefault="001E50C8" w:rsidP="003456B0">
            <w:pPr>
              <w:jc w:val="both"/>
              <w:rPr>
                <w:color w:val="000000"/>
                <w:sz w:val="18"/>
                <w:szCs w:val="18"/>
                <w:shd w:val="clear" w:color="auto" w:fill="FFFFFF"/>
                <w:lang w:val="ro-MD" w:eastAsia="ro-MD"/>
              </w:rPr>
            </w:pPr>
          </w:p>
          <w:p w14:paraId="1EC9D403" w14:textId="77777777" w:rsidR="001E50C8" w:rsidRPr="008070DB" w:rsidRDefault="001E50C8" w:rsidP="003456B0">
            <w:pPr>
              <w:jc w:val="both"/>
              <w:rPr>
                <w:color w:val="000000"/>
                <w:sz w:val="18"/>
                <w:szCs w:val="18"/>
                <w:shd w:val="clear" w:color="auto" w:fill="FFFFFF"/>
                <w:lang w:val="ro-MD" w:eastAsia="ro-MD"/>
              </w:rPr>
            </w:pPr>
          </w:p>
          <w:p w14:paraId="3F0131E5" w14:textId="77777777" w:rsidR="001E50C8" w:rsidRPr="008070DB" w:rsidRDefault="001E50C8" w:rsidP="003456B0">
            <w:pPr>
              <w:jc w:val="both"/>
              <w:rPr>
                <w:color w:val="000000"/>
                <w:sz w:val="18"/>
                <w:szCs w:val="18"/>
                <w:shd w:val="clear" w:color="auto" w:fill="FFFFFF"/>
                <w:lang w:val="ro-MD" w:eastAsia="ro-MD"/>
              </w:rPr>
            </w:pPr>
          </w:p>
          <w:p w14:paraId="65BA450A" w14:textId="77777777" w:rsidR="001E50C8" w:rsidRPr="008070DB" w:rsidRDefault="001E50C8" w:rsidP="003456B0">
            <w:pPr>
              <w:jc w:val="both"/>
              <w:rPr>
                <w:color w:val="000000"/>
                <w:sz w:val="18"/>
                <w:szCs w:val="18"/>
                <w:shd w:val="clear" w:color="auto" w:fill="FFFFFF"/>
                <w:lang w:val="ro-MD" w:eastAsia="ro-MD"/>
              </w:rPr>
            </w:pPr>
          </w:p>
          <w:p w14:paraId="724058A8" w14:textId="77777777" w:rsidR="001E50C8" w:rsidRPr="008070DB" w:rsidRDefault="001E50C8" w:rsidP="003456B0">
            <w:pPr>
              <w:jc w:val="both"/>
              <w:rPr>
                <w:color w:val="000000"/>
                <w:sz w:val="18"/>
                <w:szCs w:val="18"/>
                <w:shd w:val="clear" w:color="auto" w:fill="FFFFFF"/>
                <w:lang w:val="ro-MD" w:eastAsia="ro-MD"/>
              </w:rPr>
            </w:pPr>
          </w:p>
          <w:p w14:paraId="7FB20574" w14:textId="77777777" w:rsidR="001E50C8" w:rsidRPr="008070DB" w:rsidRDefault="001E50C8" w:rsidP="003456B0">
            <w:pPr>
              <w:jc w:val="both"/>
              <w:rPr>
                <w:color w:val="000000"/>
                <w:sz w:val="18"/>
                <w:szCs w:val="18"/>
                <w:shd w:val="clear" w:color="auto" w:fill="FFFFFF"/>
                <w:lang w:val="ro-MD" w:eastAsia="ro-MD"/>
              </w:rPr>
            </w:pPr>
          </w:p>
          <w:p w14:paraId="649957F5" w14:textId="77777777" w:rsidR="001E50C8" w:rsidRPr="008070DB" w:rsidRDefault="001E50C8" w:rsidP="003456B0">
            <w:pPr>
              <w:jc w:val="both"/>
              <w:rPr>
                <w:color w:val="000000"/>
                <w:sz w:val="18"/>
                <w:szCs w:val="18"/>
                <w:shd w:val="clear" w:color="auto" w:fill="FFFFFF"/>
                <w:lang w:val="ro-MD" w:eastAsia="ro-MD"/>
              </w:rPr>
            </w:pPr>
          </w:p>
          <w:p w14:paraId="72F24658" w14:textId="77777777" w:rsidR="001E50C8" w:rsidRPr="008070DB" w:rsidRDefault="001E50C8" w:rsidP="003456B0">
            <w:pPr>
              <w:jc w:val="both"/>
              <w:rPr>
                <w:color w:val="000000"/>
                <w:sz w:val="18"/>
                <w:szCs w:val="18"/>
                <w:shd w:val="clear" w:color="auto" w:fill="FFFFFF"/>
                <w:lang w:val="ro-MD" w:eastAsia="ro-MD"/>
              </w:rPr>
            </w:pPr>
          </w:p>
          <w:p w14:paraId="2CCC24AF" w14:textId="77777777" w:rsidR="001E50C8" w:rsidRPr="008070DB" w:rsidRDefault="001E50C8" w:rsidP="003456B0">
            <w:pPr>
              <w:jc w:val="both"/>
              <w:rPr>
                <w:color w:val="000000"/>
                <w:sz w:val="18"/>
                <w:szCs w:val="18"/>
                <w:shd w:val="clear" w:color="auto" w:fill="FFFFFF"/>
                <w:lang w:val="ro-MD" w:eastAsia="ro-MD"/>
              </w:rPr>
            </w:pPr>
          </w:p>
          <w:p w14:paraId="01875B82" w14:textId="77777777" w:rsidR="001E50C8" w:rsidRPr="008070DB" w:rsidRDefault="001E50C8" w:rsidP="003456B0">
            <w:pPr>
              <w:jc w:val="both"/>
              <w:rPr>
                <w:color w:val="000000"/>
                <w:sz w:val="18"/>
                <w:szCs w:val="18"/>
                <w:shd w:val="clear" w:color="auto" w:fill="FFFFFF"/>
                <w:lang w:val="ro-MD" w:eastAsia="ro-MD"/>
              </w:rPr>
            </w:pPr>
          </w:p>
          <w:p w14:paraId="40563444" w14:textId="77777777" w:rsidR="001E50C8" w:rsidRPr="008070DB" w:rsidRDefault="001E50C8" w:rsidP="003456B0">
            <w:pPr>
              <w:jc w:val="both"/>
              <w:rPr>
                <w:color w:val="000000"/>
                <w:sz w:val="18"/>
                <w:szCs w:val="18"/>
                <w:shd w:val="clear" w:color="auto" w:fill="FFFFFF"/>
                <w:lang w:val="ro-MD" w:eastAsia="ro-MD"/>
              </w:rPr>
            </w:pPr>
          </w:p>
          <w:p w14:paraId="5242D9D7" w14:textId="77777777" w:rsidR="001E50C8" w:rsidRPr="008070DB" w:rsidRDefault="001E50C8" w:rsidP="003456B0">
            <w:pPr>
              <w:jc w:val="both"/>
              <w:rPr>
                <w:color w:val="000000"/>
                <w:sz w:val="18"/>
                <w:szCs w:val="18"/>
                <w:shd w:val="clear" w:color="auto" w:fill="FFFFFF"/>
                <w:lang w:val="ro-MD" w:eastAsia="ro-MD"/>
              </w:rPr>
            </w:pPr>
          </w:p>
          <w:p w14:paraId="03181FF8" w14:textId="77777777" w:rsidR="001E50C8" w:rsidRPr="008070DB" w:rsidRDefault="001E50C8" w:rsidP="003456B0">
            <w:pPr>
              <w:jc w:val="both"/>
              <w:rPr>
                <w:color w:val="000000"/>
                <w:sz w:val="18"/>
                <w:szCs w:val="18"/>
                <w:shd w:val="clear" w:color="auto" w:fill="FFFFFF"/>
                <w:lang w:val="ro-MD" w:eastAsia="ro-MD"/>
              </w:rPr>
            </w:pPr>
          </w:p>
          <w:p w14:paraId="40C49402" w14:textId="77777777" w:rsidR="001E50C8" w:rsidRPr="008070DB" w:rsidRDefault="001E50C8" w:rsidP="003456B0">
            <w:pPr>
              <w:jc w:val="both"/>
              <w:rPr>
                <w:color w:val="000000"/>
                <w:sz w:val="18"/>
                <w:szCs w:val="18"/>
                <w:shd w:val="clear" w:color="auto" w:fill="FFFFFF"/>
                <w:lang w:val="ro-MD" w:eastAsia="ro-MD"/>
              </w:rPr>
            </w:pPr>
          </w:p>
          <w:p w14:paraId="483844B9" w14:textId="77777777" w:rsidR="001E50C8" w:rsidRPr="008070DB" w:rsidRDefault="001E50C8" w:rsidP="003456B0">
            <w:pPr>
              <w:jc w:val="both"/>
              <w:rPr>
                <w:color w:val="000000"/>
                <w:sz w:val="18"/>
                <w:szCs w:val="18"/>
                <w:shd w:val="clear" w:color="auto" w:fill="FFFFFF"/>
                <w:lang w:val="ro-MD" w:eastAsia="ro-MD"/>
              </w:rPr>
            </w:pPr>
          </w:p>
          <w:p w14:paraId="7689E55A" w14:textId="77777777" w:rsidR="001E50C8" w:rsidRPr="008070DB" w:rsidRDefault="001E50C8" w:rsidP="003456B0">
            <w:pPr>
              <w:jc w:val="both"/>
              <w:rPr>
                <w:color w:val="000000"/>
                <w:sz w:val="18"/>
                <w:szCs w:val="18"/>
                <w:shd w:val="clear" w:color="auto" w:fill="FFFFFF"/>
                <w:lang w:val="ro-MD" w:eastAsia="ro-MD"/>
              </w:rPr>
            </w:pPr>
          </w:p>
          <w:p w14:paraId="1AC06295" w14:textId="77777777" w:rsidR="001E50C8" w:rsidRPr="008070DB" w:rsidRDefault="001E50C8" w:rsidP="003456B0">
            <w:pPr>
              <w:jc w:val="both"/>
              <w:rPr>
                <w:color w:val="000000"/>
                <w:sz w:val="18"/>
                <w:szCs w:val="18"/>
                <w:shd w:val="clear" w:color="auto" w:fill="FFFFFF"/>
                <w:lang w:val="ro-MD" w:eastAsia="ro-MD"/>
              </w:rPr>
            </w:pPr>
          </w:p>
          <w:p w14:paraId="51E12262" w14:textId="77777777" w:rsidR="001E50C8" w:rsidRPr="008070DB" w:rsidRDefault="001E50C8" w:rsidP="003456B0">
            <w:pPr>
              <w:jc w:val="both"/>
              <w:rPr>
                <w:color w:val="000000"/>
                <w:sz w:val="18"/>
                <w:szCs w:val="18"/>
                <w:shd w:val="clear" w:color="auto" w:fill="FFFFFF"/>
                <w:lang w:val="ro-MD" w:eastAsia="ro-MD"/>
              </w:rPr>
            </w:pPr>
          </w:p>
          <w:p w14:paraId="6B4075F7" w14:textId="77777777" w:rsidR="001E50C8" w:rsidRPr="008070DB" w:rsidRDefault="001E50C8" w:rsidP="003456B0">
            <w:pPr>
              <w:jc w:val="both"/>
              <w:rPr>
                <w:color w:val="000000"/>
                <w:sz w:val="18"/>
                <w:szCs w:val="18"/>
                <w:shd w:val="clear" w:color="auto" w:fill="FFFFFF"/>
                <w:lang w:val="ro-MD" w:eastAsia="ro-MD"/>
              </w:rPr>
            </w:pPr>
          </w:p>
          <w:p w14:paraId="7F82B9E0" w14:textId="77777777" w:rsidR="001E50C8" w:rsidRPr="008070DB" w:rsidRDefault="001E50C8" w:rsidP="003456B0">
            <w:pPr>
              <w:jc w:val="both"/>
              <w:rPr>
                <w:color w:val="000000"/>
                <w:sz w:val="18"/>
                <w:szCs w:val="18"/>
                <w:shd w:val="clear" w:color="auto" w:fill="FFFFFF"/>
                <w:lang w:val="ro-MD" w:eastAsia="ro-MD"/>
              </w:rPr>
            </w:pPr>
          </w:p>
          <w:p w14:paraId="0C028B22" w14:textId="77777777" w:rsidR="001E50C8" w:rsidRPr="008070DB" w:rsidRDefault="001E50C8" w:rsidP="003456B0">
            <w:pPr>
              <w:jc w:val="both"/>
              <w:rPr>
                <w:color w:val="000000"/>
                <w:sz w:val="18"/>
                <w:szCs w:val="18"/>
                <w:shd w:val="clear" w:color="auto" w:fill="FFFFFF"/>
                <w:lang w:val="ro-MD" w:eastAsia="ro-MD"/>
              </w:rPr>
            </w:pPr>
          </w:p>
          <w:p w14:paraId="1A2C8421" w14:textId="77777777" w:rsidR="001E50C8" w:rsidRPr="008070DB" w:rsidRDefault="001E50C8" w:rsidP="003456B0">
            <w:pPr>
              <w:jc w:val="both"/>
              <w:rPr>
                <w:color w:val="000000"/>
                <w:sz w:val="18"/>
                <w:szCs w:val="18"/>
                <w:shd w:val="clear" w:color="auto" w:fill="FFFFFF"/>
                <w:lang w:val="ro-MD" w:eastAsia="ro-MD"/>
              </w:rPr>
            </w:pPr>
          </w:p>
          <w:p w14:paraId="74E621FA" w14:textId="77777777" w:rsidR="001E50C8" w:rsidRPr="008070DB" w:rsidRDefault="001E50C8" w:rsidP="003456B0">
            <w:pPr>
              <w:jc w:val="both"/>
              <w:rPr>
                <w:color w:val="000000"/>
                <w:sz w:val="18"/>
                <w:szCs w:val="18"/>
                <w:shd w:val="clear" w:color="auto" w:fill="FFFFFF"/>
                <w:lang w:val="ro-MD" w:eastAsia="ro-MD"/>
              </w:rPr>
            </w:pPr>
          </w:p>
          <w:p w14:paraId="4850798B" w14:textId="77777777" w:rsidR="001E50C8" w:rsidRPr="008070DB" w:rsidRDefault="001E50C8" w:rsidP="003456B0">
            <w:pPr>
              <w:jc w:val="both"/>
              <w:rPr>
                <w:color w:val="000000"/>
                <w:sz w:val="18"/>
                <w:szCs w:val="18"/>
                <w:shd w:val="clear" w:color="auto" w:fill="FFFFFF"/>
                <w:lang w:val="ro-MD" w:eastAsia="ro-MD"/>
              </w:rPr>
            </w:pPr>
          </w:p>
          <w:p w14:paraId="4671D302" w14:textId="77777777" w:rsidR="001E50C8" w:rsidRPr="008070DB" w:rsidRDefault="001E50C8" w:rsidP="003456B0">
            <w:pPr>
              <w:jc w:val="both"/>
              <w:rPr>
                <w:color w:val="000000"/>
                <w:sz w:val="18"/>
                <w:szCs w:val="18"/>
                <w:shd w:val="clear" w:color="auto" w:fill="FFFFFF"/>
                <w:lang w:val="ro-MD" w:eastAsia="ro-MD"/>
              </w:rPr>
            </w:pPr>
          </w:p>
          <w:p w14:paraId="271D8C13" w14:textId="77777777" w:rsidR="001E50C8" w:rsidRPr="008070DB" w:rsidRDefault="001E50C8" w:rsidP="003456B0">
            <w:pPr>
              <w:jc w:val="both"/>
              <w:rPr>
                <w:color w:val="000000"/>
                <w:sz w:val="18"/>
                <w:szCs w:val="18"/>
                <w:shd w:val="clear" w:color="auto" w:fill="FFFFFF"/>
                <w:lang w:val="ro-MD" w:eastAsia="ro-MD"/>
              </w:rPr>
            </w:pPr>
          </w:p>
          <w:p w14:paraId="3CA84949" w14:textId="33937E68" w:rsidR="001E50C8" w:rsidRPr="008070DB" w:rsidRDefault="001E50C8" w:rsidP="003456B0">
            <w:pPr>
              <w:jc w:val="both"/>
              <w:rPr>
                <w:color w:val="000000"/>
                <w:sz w:val="18"/>
                <w:szCs w:val="18"/>
                <w:shd w:val="clear" w:color="auto" w:fill="FFFFFF"/>
                <w:lang w:val="ro-MD" w:eastAsia="ro-MD"/>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1F1059C7" w14:textId="70A121DC" w:rsidR="00236954" w:rsidRPr="00A96E09" w:rsidRDefault="001E50C8" w:rsidP="00236954">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5150DC1E" w14:textId="77777777" w:rsidR="00236954" w:rsidRPr="00A96E09" w:rsidRDefault="00236954" w:rsidP="00236954">
            <w:pPr>
              <w:rPr>
                <w:sz w:val="18"/>
                <w:szCs w:val="18"/>
                <w:lang w:val="ro-MD"/>
              </w:rPr>
            </w:pPr>
          </w:p>
        </w:tc>
      </w:tr>
      <w:tr w:rsidR="00236954" w:rsidRPr="007C0793" w14:paraId="0DB6F597" w14:textId="77777777" w:rsidTr="002A75A8">
        <w:trPr>
          <w:trHeight w:val="4994"/>
        </w:trPr>
        <w:tc>
          <w:tcPr>
            <w:tcW w:w="3866" w:type="dxa"/>
          </w:tcPr>
          <w:p w14:paraId="617AFB8B" w14:textId="05574CDA" w:rsidR="003456B0" w:rsidRPr="003456B0" w:rsidRDefault="003456B0" w:rsidP="003456B0">
            <w:pPr>
              <w:pStyle w:val="title-article-norm"/>
              <w:jc w:val="both"/>
              <w:rPr>
                <w:i w:val="0"/>
                <w:sz w:val="18"/>
                <w:szCs w:val="18"/>
                <w:lang w:val="ro-MD"/>
              </w:rPr>
            </w:pPr>
            <w:r w:rsidRPr="003456B0">
              <w:rPr>
                <w:iCs w:val="0"/>
                <w:sz w:val="18"/>
                <w:szCs w:val="18"/>
                <w:lang w:val="ro-MD"/>
              </w:rPr>
              <w:lastRenderedPageBreak/>
              <w:t>Articolul 286</w:t>
            </w:r>
            <w:r>
              <w:rPr>
                <w:i w:val="0"/>
                <w:sz w:val="18"/>
                <w:szCs w:val="18"/>
                <w:lang w:val="ro-MD"/>
              </w:rPr>
              <w:t xml:space="preserve"> </w:t>
            </w:r>
            <w:r w:rsidRPr="003456B0">
              <w:rPr>
                <w:b/>
                <w:bCs/>
                <w:iCs w:val="0"/>
                <w:sz w:val="18"/>
                <w:szCs w:val="18"/>
                <w:lang w:val="ro-MD"/>
              </w:rPr>
              <w:t>Gestionarea riscului de credit al contrapărții — politici, procese și sisteme</w:t>
            </w:r>
          </w:p>
          <w:p w14:paraId="14BF479A" w14:textId="24667387" w:rsidR="003456B0" w:rsidRPr="003456B0" w:rsidRDefault="003456B0" w:rsidP="003456B0">
            <w:pPr>
              <w:pStyle w:val="title-article-norm"/>
              <w:jc w:val="both"/>
              <w:rPr>
                <w:i w:val="0"/>
                <w:sz w:val="18"/>
                <w:szCs w:val="18"/>
                <w:lang w:val="ro-MD"/>
              </w:rPr>
            </w:pPr>
            <w:r w:rsidRPr="003456B0">
              <w:rPr>
                <w:i w:val="0"/>
                <w:sz w:val="18"/>
                <w:szCs w:val="18"/>
                <w:lang w:val="ro-MD"/>
              </w:rPr>
              <w:t>(1) O instituție stabilește și menține un cadru de gestionare a riscului de credit al contrapărții, care constă în:</w:t>
            </w:r>
          </w:p>
          <w:p w14:paraId="40825371" w14:textId="012BF50E" w:rsidR="003456B0" w:rsidRPr="003456B0" w:rsidRDefault="003456B0" w:rsidP="003456B0">
            <w:pPr>
              <w:pStyle w:val="title-article-norm"/>
              <w:jc w:val="both"/>
              <w:rPr>
                <w:i w:val="0"/>
                <w:sz w:val="18"/>
                <w:szCs w:val="18"/>
                <w:lang w:val="ro-MD"/>
              </w:rPr>
            </w:pPr>
            <w:r w:rsidRPr="003456B0">
              <w:rPr>
                <w:i w:val="0"/>
                <w:sz w:val="18"/>
                <w:szCs w:val="18"/>
                <w:lang w:val="ro-MD"/>
              </w:rPr>
              <w:t>(a) politici, procese și sisteme care asigură identificarea, măsurarea, gestionarea, aprobarea și raportarea internă a riscului de credit al contrapărții;</w:t>
            </w:r>
          </w:p>
          <w:p w14:paraId="2B07C685" w14:textId="6C480D40" w:rsidR="003456B0" w:rsidRPr="003456B0" w:rsidRDefault="003456B0" w:rsidP="003456B0">
            <w:pPr>
              <w:pStyle w:val="title-article-norm"/>
              <w:jc w:val="both"/>
              <w:rPr>
                <w:i w:val="0"/>
                <w:sz w:val="18"/>
                <w:szCs w:val="18"/>
                <w:lang w:val="ro-MD"/>
              </w:rPr>
            </w:pPr>
            <w:r w:rsidRPr="003456B0">
              <w:rPr>
                <w:i w:val="0"/>
                <w:sz w:val="18"/>
                <w:szCs w:val="18"/>
                <w:lang w:val="ro-MD"/>
              </w:rPr>
              <w:t>(b)</w:t>
            </w:r>
            <w:r>
              <w:rPr>
                <w:i w:val="0"/>
                <w:sz w:val="18"/>
                <w:szCs w:val="18"/>
                <w:lang w:val="ro-MD"/>
              </w:rPr>
              <w:t xml:space="preserve"> </w:t>
            </w:r>
            <w:r w:rsidRPr="003456B0">
              <w:rPr>
                <w:i w:val="0"/>
                <w:sz w:val="18"/>
                <w:szCs w:val="18"/>
                <w:lang w:val="ro-MD"/>
              </w:rPr>
              <w:t>proceduri care asigură respectarea acestor politici, procese și sisteme.</w:t>
            </w:r>
          </w:p>
          <w:p w14:paraId="0EB58A9A" w14:textId="77777777" w:rsidR="003456B0" w:rsidRPr="003456B0" w:rsidRDefault="003456B0" w:rsidP="003456B0">
            <w:pPr>
              <w:pStyle w:val="title-article-norm"/>
              <w:jc w:val="both"/>
              <w:rPr>
                <w:i w:val="0"/>
                <w:sz w:val="18"/>
                <w:szCs w:val="18"/>
                <w:lang w:val="ro-MD"/>
              </w:rPr>
            </w:pPr>
            <w:r w:rsidRPr="003456B0">
              <w:rPr>
                <w:i w:val="0"/>
                <w:sz w:val="18"/>
                <w:szCs w:val="18"/>
                <w:lang w:val="ro-MD"/>
              </w:rPr>
              <w:t>Aceste politici, procese și sisteme trebuie să fie solide din punct de vedere conceptual, implementate corect și formalizate. Documentația respectivă include explicații cu privire la tehnicile empirice utilizate pentru a măsura riscul de credit al contrapărții.</w:t>
            </w:r>
          </w:p>
          <w:p w14:paraId="50F4BBB0" w14:textId="3555AA69" w:rsidR="003456B0" w:rsidRPr="003456B0" w:rsidRDefault="003456B0" w:rsidP="003456B0">
            <w:pPr>
              <w:pStyle w:val="title-article-norm"/>
              <w:jc w:val="both"/>
              <w:rPr>
                <w:i w:val="0"/>
                <w:sz w:val="18"/>
                <w:szCs w:val="18"/>
                <w:lang w:val="ro-MD"/>
              </w:rPr>
            </w:pPr>
            <w:r w:rsidRPr="003456B0">
              <w:rPr>
                <w:i w:val="0"/>
                <w:sz w:val="18"/>
                <w:szCs w:val="18"/>
                <w:lang w:val="ro-MD"/>
              </w:rPr>
              <w:t xml:space="preserve">(2) Cadrul de gestionare a riscului de credit al contrapărții solicitat la alineatul (1) ține seama de riscurile de piață, de lichiditate, juridic și </w:t>
            </w:r>
            <w:r w:rsidRPr="003456B0">
              <w:rPr>
                <w:i w:val="0"/>
                <w:sz w:val="18"/>
                <w:szCs w:val="18"/>
                <w:lang w:val="ro-MD"/>
              </w:rPr>
              <w:lastRenderedPageBreak/>
              <w:t>operațional care sunt asociate riscului de credit al contrapărții. În special, cadrul asigură faptul că instituția respectă următoarele principii:</w:t>
            </w:r>
          </w:p>
          <w:p w14:paraId="10F8EABB" w14:textId="6423DBB2" w:rsidR="003456B0" w:rsidRPr="003456B0" w:rsidRDefault="003456B0" w:rsidP="003456B0">
            <w:pPr>
              <w:pStyle w:val="title-article-norm"/>
              <w:jc w:val="both"/>
              <w:rPr>
                <w:i w:val="0"/>
                <w:sz w:val="18"/>
                <w:szCs w:val="18"/>
                <w:lang w:val="ro-MD"/>
              </w:rPr>
            </w:pPr>
            <w:r w:rsidRPr="003456B0">
              <w:rPr>
                <w:i w:val="0"/>
                <w:sz w:val="18"/>
                <w:szCs w:val="18"/>
                <w:lang w:val="ro-MD"/>
              </w:rPr>
              <w:t>(a)</w:t>
            </w:r>
            <w:r>
              <w:rPr>
                <w:i w:val="0"/>
                <w:sz w:val="18"/>
                <w:szCs w:val="18"/>
                <w:lang w:val="ro-MD"/>
              </w:rPr>
              <w:t xml:space="preserve"> </w:t>
            </w:r>
            <w:r w:rsidRPr="003456B0">
              <w:rPr>
                <w:i w:val="0"/>
                <w:sz w:val="18"/>
                <w:szCs w:val="18"/>
                <w:lang w:val="ro-MD"/>
              </w:rPr>
              <w:t>nu derulează tranzacții cu o contraparte fără a evalua bonitatea acesteia;</w:t>
            </w:r>
          </w:p>
          <w:p w14:paraId="3851CA05" w14:textId="77777777" w:rsidR="003456B0" w:rsidRPr="003456B0" w:rsidRDefault="003456B0" w:rsidP="003456B0">
            <w:pPr>
              <w:pStyle w:val="title-article-norm"/>
              <w:jc w:val="both"/>
              <w:rPr>
                <w:i w:val="0"/>
                <w:sz w:val="18"/>
                <w:szCs w:val="18"/>
                <w:lang w:val="ro-MD"/>
              </w:rPr>
            </w:pPr>
          </w:p>
          <w:p w14:paraId="4556DFFF" w14:textId="4EB01FD8" w:rsidR="003456B0" w:rsidRPr="003456B0" w:rsidRDefault="003456B0" w:rsidP="003456B0">
            <w:pPr>
              <w:pStyle w:val="title-article-norm"/>
              <w:jc w:val="both"/>
              <w:rPr>
                <w:i w:val="0"/>
                <w:sz w:val="18"/>
                <w:szCs w:val="18"/>
                <w:lang w:val="ro-MD"/>
              </w:rPr>
            </w:pPr>
            <w:r w:rsidRPr="003456B0">
              <w:rPr>
                <w:i w:val="0"/>
                <w:sz w:val="18"/>
                <w:szCs w:val="18"/>
                <w:lang w:val="ro-MD"/>
              </w:rPr>
              <w:t>(b) ține seama în mod corespunzător de riscul de credit în momentul decontării și înaintea acestuia;</w:t>
            </w:r>
          </w:p>
          <w:p w14:paraId="36EA87F8" w14:textId="7CE0AB19" w:rsidR="003456B0" w:rsidRPr="003456B0" w:rsidRDefault="003456B0" w:rsidP="003456B0">
            <w:pPr>
              <w:pStyle w:val="title-article-norm"/>
              <w:jc w:val="both"/>
              <w:rPr>
                <w:i w:val="0"/>
                <w:sz w:val="18"/>
                <w:szCs w:val="18"/>
                <w:lang w:val="ro-MD"/>
              </w:rPr>
            </w:pPr>
            <w:r w:rsidRPr="003456B0">
              <w:rPr>
                <w:i w:val="0"/>
                <w:sz w:val="18"/>
                <w:szCs w:val="18"/>
                <w:lang w:val="ro-MD"/>
              </w:rPr>
              <w:t>(c)</w:t>
            </w:r>
            <w:r>
              <w:rPr>
                <w:i w:val="0"/>
                <w:sz w:val="18"/>
                <w:szCs w:val="18"/>
                <w:lang w:val="ro-MD"/>
              </w:rPr>
              <w:t xml:space="preserve"> </w:t>
            </w:r>
            <w:r w:rsidRPr="003456B0">
              <w:rPr>
                <w:i w:val="0"/>
                <w:sz w:val="18"/>
                <w:szCs w:val="18"/>
                <w:lang w:val="ro-MD"/>
              </w:rPr>
              <w:t>administrează aceste riscuri într-un mod cât mai cuprinzător posibil la nivelul contrapărții, prin agregarea expunerilor la riscul de credit al contrapărții cu alte expuneri din credite, precum și la nivelul întregii instituții.</w:t>
            </w:r>
          </w:p>
          <w:p w14:paraId="63EAAC06" w14:textId="77777777" w:rsidR="003456B0" w:rsidRPr="003456B0" w:rsidRDefault="003456B0" w:rsidP="003456B0">
            <w:pPr>
              <w:pStyle w:val="title-article-norm"/>
              <w:jc w:val="both"/>
              <w:rPr>
                <w:i w:val="0"/>
                <w:sz w:val="18"/>
                <w:szCs w:val="18"/>
                <w:lang w:val="ro-MD"/>
              </w:rPr>
            </w:pPr>
            <w:r w:rsidRPr="003456B0">
              <w:rPr>
                <w:i w:val="0"/>
                <w:sz w:val="18"/>
                <w:szCs w:val="18"/>
                <w:lang w:val="ro-MD"/>
              </w:rPr>
              <w:t>(3)   O instituție care utilizează MMI se asigură că propriul cadru de gestionare a riscului de credit al contrapărții ține seama, într-un mod pe care autoritatea competentă îl consideră satisfăcător, de riscurile de lichiditate ale tuturor elementelor următoare:</w:t>
            </w:r>
          </w:p>
          <w:p w14:paraId="02FCEFA8" w14:textId="5210DCEF" w:rsidR="003456B0" w:rsidRPr="003456B0" w:rsidRDefault="003456B0" w:rsidP="003456B0">
            <w:pPr>
              <w:pStyle w:val="title-article-norm"/>
              <w:jc w:val="both"/>
              <w:rPr>
                <w:i w:val="0"/>
                <w:sz w:val="18"/>
                <w:szCs w:val="18"/>
                <w:lang w:val="ro-MD"/>
              </w:rPr>
            </w:pPr>
            <w:r w:rsidRPr="003456B0">
              <w:rPr>
                <w:i w:val="0"/>
                <w:sz w:val="18"/>
                <w:szCs w:val="18"/>
                <w:lang w:val="ro-MD"/>
              </w:rPr>
              <w:t>(a) potențialele apeluri în marjă primite în contextul schimburilor de marje de variație sau de alte tipuri de marje, precum marja inițială sau independentă, în condiții de șoc negativ pe piață;</w:t>
            </w:r>
          </w:p>
          <w:p w14:paraId="3DBB6D44" w14:textId="733E6144" w:rsidR="003456B0" w:rsidRPr="003456B0" w:rsidRDefault="003456B0" w:rsidP="003456B0">
            <w:pPr>
              <w:pStyle w:val="title-article-norm"/>
              <w:jc w:val="both"/>
              <w:rPr>
                <w:i w:val="0"/>
                <w:sz w:val="18"/>
                <w:szCs w:val="18"/>
                <w:lang w:val="ro-MD"/>
              </w:rPr>
            </w:pPr>
            <w:r w:rsidRPr="003456B0">
              <w:rPr>
                <w:i w:val="0"/>
                <w:sz w:val="18"/>
                <w:szCs w:val="18"/>
                <w:lang w:val="ro-MD"/>
              </w:rPr>
              <w:t>(b)</w:t>
            </w:r>
            <w:r>
              <w:rPr>
                <w:i w:val="0"/>
                <w:sz w:val="18"/>
                <w:szCs w:val="18"/>
                <w:lang w:val="ro-MD"/>
              </w:rPr>
              <w:t xml:space="preserve"> </w:t>
            </w:r>
            <w:r w:rsidRPr="003456B0">
              <w:rPr>
                <w:i w:val="0"/>
                <w:sz w:val="18"/>
                <w:szCs w:val="18"/>
                <w:lang w:val="ro-MD"/>
              </w:rPr>
              <w:t>potențiale apeluri primite pentru restituirea garanțiilor reale excedentare furnizate de contraparte;</w:t>
            </w:r>
          </w:p>
          <w:p w14:paraId="05E083BB" w14:textId="2CF78D3E" w:rsidR="003456B0" w:rsidRPr="003456B0" w:rsidRDefault="003456B0" w:rsidP="003456B0">
            <w:pPr>
              <w:pStyle w:val="title-article-norm"/>
              <w:jc w:val="both"/>
              <w:rPr>
                <w:i w:val="0"/>
                <w:sz w:val="18"/>
                <w:szCs w:val="18"/>
                <w:lang w:val="ro-MD"/>
              </w:rPr>
            </w:pPr>
            <w:r w:rsidRPr="003456B0">
              <w:rPr>
                <w:i w:val="0"/>
                <w:sz w:val="18"/>
                <w:szCs w:val="18"/>
                <w:lang w:val="ro-MD"/>
              </w:rPr>
              <w:t>(c)</w:t>
            </w:r>
            <w:r>
              <w:rPr>
                <w:i w:val="0"/>
                <w:sz w:val="18"/>
                <w:szCs w:val="18"/>
                <w:lang w:val="ro-MD"/>
              </w:rPr>
              <w:t xml:space="preserve"> </w:t>
            </w:r>
            <w:r w:rsidRPr="003456B0">
              <w:rPr>
                <w:i w:val="0"/>
                <w:sz w:val="18"/>
                <w:szCs w:val="18"/>
                <w:lang w:val="ro-MD"/>
              </w:rPr>
              <w:t>apeluri rezultând dintr-o potențială retrogradare a propriei evaluări externe a calității creditului.</w:t>
            </w:r>
          </w:p>
          <w:p w14:paraId="217525A2" w14:textId="77777777" w:rsidR="003456B0" w:rsidRPr="003456B0" w:rsidRDefault="003456B0" w:rsidP="003456B0">
            <w:pPr>
              <w:pStyle w:val="title-article-norm"/>
              <w:jc w:val="both"/>
              <w:rPr>
                <w:i w:val="0"/>
                <w:sz w:val="18"/>
                <w:szCs w:val="18"/>
                <w:lang w:val="ro-MD"/>
              </w:rPr>
            </w:pPr>
            <w:r w:rsidRPr="003456B0">
              <w:rPr>
                <w:i w:val="0"/>
                <w:sz w:val="18"/>
                <w:szCs w:val="18"/>
                <w:lang w:val="ro-MD"/>
              </w:rPr>
              <w:lastRenderedPageBreak/>
              <w:t>Instituția se asigură că natura și durata reutilizării garanțiilor reale corespund nevoilor sale de lichiditate și nu pun în pericol capacitatea sa de a furniza sau de a restitui rapid garanții reale.</w:t>
            </w:r>
          </w:p>
          <w:p w14:paraId="561C6B91" w14:textId="2FF25BB7" w:rsidR="003456B0" w:rsidRPr="003456B0" w:rsidRDefault="003456B0" w:rsidP="003456B0">
            <w:pPr>
              <w:pStyle w:val="title-article-norm"/>
              <w:jc w:val="both"/>
              <w:rPr>
                <w:i w:val="0"/>
                <w:sz w:val="18"/>
                <w:szCs w:val="18"/>
                <w:lang w:val="ro-MD"/>
              </w:rPr>
            </w:pPr>
            <w:r w:rsidRPr="003456B0">
              <w:rPr>
                <w:i w:val="0"/>
                <w:sz w:val="18"/>
                <w:szCs w:val="18"/>
                <w:lang w:val="ro-MD"/>
              </w:rPr>
              <w:t>(4)  Organul de conducere și conducerea superioară a unei instituții trebuie să fie implicate activ în gestionarea riscului de credit al contrapărții, pentru care trebuie să se asigure că sunt alocate resurse adecvate. Conducerea superioară trebuie să cunoască, prin intermediul unui proces formal, limitele modelului utilizat și ipotezele pe care se bazează acesta, precum și impactul acestor limitări și ipoteze asupra credibilității rezultatelor. Conducerea superioară trebuie să aibă, de asemenea, cunoștință de incertitudinile pieței și ale aspectelor operaționale, precum și de modul în care acestea sunt luate în considerare de model.</w:t>
            </w:r>
          </w:p>
          <w:p w14:paraId="1B57856D" w14:textId="69636A4C" w:rsidR="003456B0" w:rsidRPr="003456B0" w:rsidRDefault="003456B0" w:rsidP="003456B0">
            <w:pPr>
              <w:pStyle w:val="title-article-norm"/>
              <w:jc w:val="both"/>
              <w:rPr>
                <w:i w:val="0"/>
                <w:sz w:val="18"/>
                <w:szCs w:val="18"/>
                <w:lang w:val="ro-MD"/>
              </w:rPr>
            </w:pPr>
            <w:r w:rsidRPr="003456B0">
              <w:rPr>
                <w:i w:val="0"/>
                <w:sz w:val="18"/>
                <w:szCs w:val="18"/>
                <w:lang w:val="ro-MD"/>
              </w:rPr>
              <w:t>(5) Rapoartele zilnice cu privire la expunerile instituției la riscul de credit al contrapărții, elaborate în conformitate cu articolul 287 alineatul (2) litera (b), trebuie să fie analizate de un nivel al conducerii cu o poziție ierarhică și o autoritate suficiente pentru a impune atât reduceri ale pozițiilor luate în mod individual de administratorii de credite sau de personalul care tranzacționează, cât și reduceri ale expunerii globale a instituției la riscul de credit al contrapărții.</w:t>
            </w:r>
          </w:p>
          <w:p w14:paraId="07A661B8" w14:textId="49135060" w:rsidR="003456B0" w:rsidRPr="003456B0" w:rsidRDefault="003456B0" w:rsidP="003456B0">
            <w:pPr>
              <w:pStyle w:val="title-article-norm"/>
              <w:jc w:val="both"/>
              <w:rPr>
                <w:i w:val="0"/>
                <w:sz w:val="18"/>
                <w:szCs w:val="18"/>
                <w:lang w:val="ro-MD"/>
              </w:rPr>
            </w:pPr>
            <w:r w:rsidRPr="003456B0">
              <w:rPr>
                <w:i w:val="0"/>
                <w:sz w:val="18"/>
                <w:szCs w:val="18"/>
                <w:lang w:val="ro-MD"/>
              </w:rPr>
              <w:t xml:space="preserve">(6) Cadrul de gestionare a riscului de credit al contrapărții stabilit de instituție în conformitate cu alineatul (1) trebuie să fie utilizat în strânsă legătură cu limitele interne de creditare și de tranzacționare. Limitele de creditare și de tranzacționare trebuie să fie corelate cu modelul de măsurare a riscului al instituției într-un mod care este consecvent în timp și corect înțeles de administratorii de credite, de personalul care tranzacționează și de conducerea superioară. O </w:t>
            </w:r>
            <w:r w:rsidRPr="003456B0">
              <w:rPr>
                <w:i w:val="0"/>
                <w:sz w:val="18"/>
                <w:szCs w:val="18"/>
                <w:lang w:val="ro-MD"/>
              </w:rPr>
              <w:lastRenderedPageBreak/>
              <w:t>instituție trebuie să dispună de un proces formal de raportare a încălcărilor limitelor de risc către nivelul de conducere corespunzător.</w:t>
            </w:r>
          </w:p>
          <w:p w14:paraId="14FF8F63" w14:textId="3A698419" w:rsidR="003456B0" w:rsidRPr="003456B0" w:rsidRDefault="003456B0" w:rsidP="003456B0">
            <w:pPr>
              <w:pStyle w:val="title-article-norm"/>
              <w:jc w:val="both"/>
              <w:rPr>
                <w:i w:val="0"/>
                <w:sz w:val="18"/>
                <w:szCs w:val="18"/>
                <w:lang w:val="ro-MD"/>
              </w:rPr>
            </w:pPr>
            <w:r w:rsidRPr="003456B0">
              <w:rPr>
                <w:i w:val="0"/>
                <w:sz w:val="18"/>
                <w:szCs w:val="18"/>
                <w:lang w:val="ro-MD"/>
              </w:rPr>
              <w:t xml:space="preserve">(7) </w:t>
            </w:r>
            <w:r>
              <w:rPr>
                <w:i w:val="0"/>
                <w:sz w:val="18"/>
                <w:szCs w:val="18"/>
                <w:lang w:val="ro-MD"/>
              </w:rPr>
              <w:t xml:space="preserve"> </w:t>
            </w:r>
            <w:r w:rsidRPr="003456B0">
              <w:rPr>
                <w:i w:val="0"/>
                <w:sz w:val="18"/>
                <w:szCs w:val="18"/>
                <w:lang w:val="ro-MD"/>
              </w:rPr>
              <w:t>Măsurarea de către instituție a riscului de credit al contrapărții trebuie să includă măsurarea zilnică și în cadrul unei zile a utilizării liniilor de credit. Instituția trebuie să măsoare expunerea curentă brută și netă de garanții reale. La nivel de portofoliu și de contraparte, instituția trebuie să calculeze și să monitorizeze expunerea maximă sau expunerea viitoare potențială la un interval de încredere pe care îl alege. Instituția trebuie să țină seama de pozițiile importante sau concentrate, inclusiv pe grupuri de contrapărți aflate în legătură, pe sector industrial și pe piață.</w:t>
            </w:r>
          </w:p>
          <w:p w14:paraId="4F5EFBF8" w14:textId="2B2C7DA4" w:rsidR="00236954" w:rsidRPr="00A96E09" w:rsidRDefault="003456B0" w:rsidP="003456B0">
            <w:pPr>
              <w:pStyle w:val="title-article-norm"/>
              <w:jc w:val="both"/>
              <w:rPr>
                <w:i w:val="0"/>
                <w:sz w:val="18"/>
                <w:szCs w:val="18"/>
                <w:lang w:val="ro-MD"/>
              </w:rPr>
            </w:pPr>
            <w:r w:rsidRPr="003456B0">
              <w:rPr>
                <w:i w:val="0"/>
                <w:sz w:val="18"/>
                <w:szCs w:val="18"/>
                <w:lang w:val="ro-MD"/>
              </w:rPr>
              <w:t>(8)   O instituție trebuie să stabilească și să mențină un program de simulare de criză sistematic și riguros. Rezultatele acestor simulări de criză trebuie analizate cu regularitate, cel puțin trimestrial, de către conducerea superioară și trebuie să se regăsească în politicile și în limitele privind riscul de credit al contrapărții, stabilite de organul de conducere sau de conducerea superioară. Dacă simulările de criză evidențiază o anumită vulnerabilitate față de un ansamblu de circumstanțe dat, instituția trebuie să ia măsuri prompte de administrare a acestor riscuri.</w:t>
            </w:r>
          </w:p>
        </w:tc>
        <w:tc>
          <w:tcPr>
            <w:tcW w:w="4356" w:type="dxa"/>
          </w:tcPr>
          <w:p w14:paraId="467FA945" w14:textId="77777777" w:rsidR="002A75A8" w:rsidRPr="008070DB" w:rsidRDefault="002A75A8" w:rsidP="002A75A8">
            <w:pPr>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4-a</w:t>
            </w:r>
          </w:p>
          <w:p w14:paraId="2A8DA498" w14:textId="77777777" w:rsidR="002A75A8" w:rsidRPr="008070DB" w:rsidRDefault="002A75A8" w:rsidP="002A75A8">
            <w:pPr>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Gestionarea riscului de credit al contrapărții — politici, procese și sisteme</w:t>
            </w:r>
          </w:p>
          <w:p w14:paraId="16F01D9C" w14:textId="66A43BC9" w:rsidR="002A75A8" w:rsidRPr="008070DB" w:rsidRDefault="00841505" w:rsidP="002A75A8">
            <w:pPr>
              <w:jc w:val="both"/>
              <w:rPr>
                <w:color w:val="000000"/>
                <w:sz w:val="18"/>
                <w:szCs w:val="18"/>
                <w:shd w:val="clear" w:color="auto" w:fill="FFFFFF"/>
                <w:lang w:val="ro-MD" w:eastAsia="ro-MD"/>
              </w:rPr>
            </w:pPr>
            <w:r>
              <w:rPr>
                <w:b/>
                <w:bCs/>
                <w:color w:val="000000"/>
                <w:sz w:val="18"/>
                <w:szCs w:val="18"/>
                <w:shd w:val="clear" w:color="auto" w:fill="FFFFFF"/>
                <w:lang w:val="ro-MD" w:eastAsia="ro-MD"/>
              </w:rPr>
              <w:t>191</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Banca stabilește și menține un cadru de gestionare a riscului de credit al contrapărții, care constă în:</w:t>
            </w:r>
          </w:p>
          <w:p w14:paraId="14AC9A9A" w14:textId="34801BA7"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191</w:t>
            </w:r>
            <w:r w:rsidR="002A75A8" w:rsidRPr="008070DB">
              <w:rPr>
                <w:color w:val="000000"/>
                <w:sz w:val="18"/>
                <w:szCs w:val="18"/>
                <w:shd w:val="clear" w:color="auto" w:fill="FFFFFF"/>
                <w:lang w:val="ro-MD" w:eastAsia="ro-MD"/>
              </w:rPr>
              <w:t>.1. politici, procese și sisteme care asigură identificarea, măsurarea, gestionarea, aprobarea și raportarea internă a riscului de credit al contrapărții;</w:t>
            </w:r>
          </w:p>
          <w:p w14:paraId="3CB3D0E0" w14:textId="12A25C00"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191</w:t>
            </w:r>
            <w:r w:rsidR="002A75A8" w:rsidRPr="008070DB">
              <w:rPr>
                <w:color w:val="000000"/>
                <w:sz w:val="18"/>
                <w:szCs w:val="18"/>
                <w:shd w:val="clear" w:color="auto" w:fill="FFFFFF"/>
                <w:lang w:val="ro-MD" w:eastAsia="ro-MD"/>
              </w:rPr>
              <w:t>.2. proceduri care asigură respectarea acestor politici, procese și sisteme.</w:t>
            </w:r>
          </w:p>
          <w:p w14:paraId="5960ED6D" w14:textId="1A6162DE" w:rsidR="002A75A8" w:rsidRPr="008070DB" w:rsidRDefault="00841505" w:rsidP="002A75A8">
            <w:pPr>
              <w:jc w:val="both"/>
              <w:rPr>
                <w:b/>
                <w:bCs/>
                <w:color w:val="000000"/>
                <w:sz w:val="18"/>
                <w:szCs w:val="18"/>
                <w:shd w:val="clear" w:color="auto" w:fill="FFFFFF"/>
                <w:lang w:val="ro-MD" w:eastAsia="ro-MD"/>
              </w:rPr>
            </w:pPr>
            <w:r>
              <w:rPr>
                <w:b/>
                <w:bCs/>
                <w:color w:val="000000"/>
                <w:sz w:val="18"/>
                <w:szCs w:val="18"/>
                <w:shd w:val="clear" w:color="auto" w:fill="FFFFFF"/>
                <w:lang w:val="ro-MD" w:eastAsia="ro-MD"/>
              </w:rPr>
              <w:t>192</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Aceste politici, procese și sisteme trebuie să fie solide din punct de vedere conceptual, implementate corect și formalizate. Documentația respectivă include explicații cu privire la tehnicile empirice utilizate pentru a măsura riscul de credit al contrapărții.</w:t>
            </w:r>
          </w:p>
          <w:p w14:paraId="76815672" w14:textId="56E40EEC" w:rsidR="002A75A8" w:rsidRPr="008070DB" w:rsidRDefault="00841505" w:rsidP="002A75A8">
            <w:pPr>
              <w:jc w:val="both"/>
              <w:rPr>
                <w:color w:val="000000"/>
                <w:sz w:val="18"/>
                <w:szCs w:val="18"/>
                <w:shd w:val="clear" w:color="auto" w:fill="FFFFFF"/>
                <w:lang w:val="ro-MD" w:eastAsia="ro-MD"/>
              </w:rPr>
            </w:pPr>
            <w:r>
              <w:rPr>
                <w:b/>
                <w:bCs/>
                <w:color w:val="000000"/>
                <w:sz w:val="18"/>
                <w:szCs w:val="18"/>
                <w:shd w:val="clear" w:color="auto" w:fill="FFFFFF"/>
                <w:lang w:val="ro-MD" w:eastAsia="ro-MD"/>
              </w:rPr>
              <w:t>193</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 xml:space="preserve">Cadrul de gestionare a riscului de credit al contrapărții solicitat la </w:t>
            </w:r>
            <w:r w:rsidR="002A75A8" w:rsidRPr="008070DB">
              <w:rPr>
                <w:color w:val="000000"/>
                <w:sz w:val="18"/>
                <w:szCs w:val="18"/>
                <w:highlight w:val="lightGray"/>
                <w:shd w:val="clear" w:color="auto" w:fill="FFFFFF"/>
                <w:lang w:val="ro-MD" w:eastAsia="ro-MD"/>
              </w:rPr>
              <w:t xml:space="preserve">punctele </w:t>
            </w:r>
            <w:r>
              <w:rPr>
                <w:color w:val="000000"/>
                <w:sz w:val="18"/>
                <w:szCs w:val="18"/>
                <w:highlight w:val="lightGray"/>
                <w:shd w:val="clear" w:color="auto" w:fill="FFFFFF"/>
                <w:lang w:val="ro-MD" w:eastAsia="ro-MD"/>
              </w:rPr>
              <w:t>191</w:t>
            </w:r>
            <w:r w:rsidR="002A75A8" w:rsidRPr="008070DB">
              <w:rPr>
                <w:color w:val="000000"/>
                <w:sz w:val="18"/>
                <w:szCs w:val="18"/>
                <w:highlight w:val="lightGray"/>
                <w:shd w:val="clear" w:color="auto" w:fill="FFFFFF"/>
                <w:lang w:val="ro-MD" w:eastAsia="ro-MD"/>
              </w:rPr>
              <w:t>-</w:t>
            </w:r>
            <w:r>
              <w:rPr>
                <w:color w:val="000000"/>
                <w:sz w:val="18"/>
                <w:szCs w:val="18"/>
                <w:shd w:val="clear" w:color="auto" w:fill="FFFFFF"/>
                <w:lang w:val="ro-MD" w:eastAsia="ro-MD"/>
              </w:rPr>
              <w:t>192</w:t>
            </w:r>
            <w:r w:rsidR="002A75A8" w:rsidRPr="008070DB">
              <w:rPr>
                <w:color w:val="000000"/>
                <w:sz w:val="18"/>
                <w:szCs w:val="18"/>
                <w:shd w:val="clear" w:color="auto" w:fill="FFFFFF"/>
                <w:lang w:val="ro-MD" w:eastAsia="ro-MD"/>
              </w:rPr>
              <w:t xml:space="preserve"> ține seama de riscurile de piață, de lichiditate, juridic și operațional care sunt asociate riscului de credit al contrapărții. În special, cadrul asigură faptul că banca respectă următoarele principii:</w:t>
            </w:r>
          </w:p>
          <w:p w14:paraId="5ADE4A2D" w14:textId="3DD5EFD2"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193</w:t>
            </w:r>
            <w:r w:rsidR="002A75A8" w:rsidRPr="008070DB">
              <w:rPr>
                <w:color w:val="000000"/>
                <w:sz w:val="18"/>
                <w:szCs w:val="18"/>
                <w:shd w:val="clear" w:color="auto" w:fill="FFFFFF"/>
                <w:lang w:val="ro-MD" w:eastAsia="ro-MD"/>
              </w:rPr>
              <w:t>.1. nu derulează tranzacții cu o contraparte fără a evalua bonitatea acesteia;</w:t>
            </w:r>
          </w:p>
          <w:p w14:paraId="1CD07671" w14:textId="12F7532A"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193</w:t>
            </w:r>
            <w:r w:rsidR="002A75A8" w:rsidRPr="008070DB">
              <w:rPr>
                <w:color w:val="000000"/>
                <w:sz w:val="18"/>
                <w:szCs w:val="18"/>
                <w:shd w:val="clear" w:color="auto" w:fill="FFFFFF"/>
                <w:lang w:val="ro-MD" w:eastAsia="ro-MD"/>
              </w:rPr>
              <w:t>.2. ține seama în mod corespunzător de riscul de credit în momentul decontării și înaintea acestuia;</w:t>
            </w:r>
          </w:p>
          <w:p w14:paraId="045C9B94" w14:textId="6C11B8BB" w:rsidR="002A75A8" w:rsidRPr="008070DB" w:rsidRDefault="00841505" w:rsidP="002A75A8">
            <w:pPr>
              <w:jc w:val="both"/>
              <w:rPr>
                <w:b/>
                <w:bCs/>
                <w:color w:val="000000"/>
                <w:sz w:val="18"/>
                <w:szCs w:val="18"/>
                <w:shd w:val="clear" w:color="auto" w:fill="FFFFFF"/>
                <w:lang w:val="ro-MD" w:eastAsia="ro-MD"/>
              </w:rPr>
            </w:pPr>
            <w:r>
              <w:rPr>
                <w:color w:val="000000"/>
                <w:sz w:val="18"/>
                <w:szCs w:val="18"/>
                <w:shd w:val="clear" w:color="auto" w:fill="FFFFFF"/>
                <w:lang w:val="ro-MD" w:eastAsia="ro-MD"/>
              </w:rPr>
              <w:t>193</w:t>
            </w:r>
            <w:r w:rsidR="002A75A8" w:rsidRPr="008070DB">
              <w:rPr>
                <w:color w:val="000000"/>
                <w:sz w:val="18"/>
                <w:szCs w:val="18"/>
                <w:shd w:val="clear" w:color="auto" w:fill="FFFFFF"/>
                <w:lang w:val="ro-MD" w:eastAsia="ro-MD"/>
              </w:rPr>
              <w:t>.3.</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 xml:space="preserve">administrează aceste riscuri într-un mod cât mai cuprinzător posibil la nivelul contrapărții, prin agregarea </w:t>
            </w:r>
            <w:r w:rsidR="002A75A8" w:rsidRPr="008070DB">
              <w:rPr>
                <w:color w:val="000000"/>
                <w:sz w:val="18"/>
                <w:szCs w:val="18"/>
                <w:shd w:val="clear" w:color="auto" w:fill="FFFFFF"/>
                <w:lang w:val="ro-MD" w:eastAsia="ro-MD"/>
              </w:rPr>
              <w:lastRenderedPageBreak/>
              <w:t>expunerilor la riscul de credit al contrapărții cu alte expuneri din credite, precum și la nivelul întregii instituții.</w:t>
            </w:r>
          </w:p>
          <w:p w14:paraId="6FC93E07" w14:textId="4FE06E1A" w:rsidR="002A75A8" w:rsidRPr="008070DB" w:rsidRDefault="00841505" w:rsidP="002A75A8">
            <w:pPr>
              <w:jc w:val="both"/>
              <w:rPr>
                <w:b/>
                <w:bCs/>
                <w:color w:val="000000"/>
                <w:sz w:val="18"/>
                <w:szCs w:val="18"/>
                <w:shd w:val="clear" w:color="auto" w:fill="FFFFFF"/>
                <w:lang w:val="ro-MD" w:eastAsia="ro-MD"/>
              </w:rPr>
            </w:pPr>
            <w:r>
              <w:rPr>
                <w:b/>
                <w:bCs/>
                <w:color w:val="000000"/>
                <w:sz w:val="18"/>
                <w:szCs w:val="18"/>
                <w:shd w:val="clear" w:color="auto" w:fill="FFFFFF"/>
                <w:lang w:val="ro-MD" w:eastAsia="ro-MD"/>
              </w:rPr>
              <w:t>194</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 xml:space="preserve">Banca care utilizează </w:t>
            </w:r>
            <w:r w:rsidR="002A75A8" w:rsidRPr="008070DB">
              <w:rPr>
                <w:sz w:val="18"/>
                <w:szCs w:val="18"/>
                <w:lang w:val="ro-MD" w:eastAsia="ro-MD"/>
              </w:rPr>
              <w:t xml:space="preserve">metoda modelului intern </w:t>
            </w:r>
            <w:r w:rsidR="002A75A8" w:rsidRPr="008070DB">
              <w:rPr>
                <w:color w:val="000000"/>
                <w:sz w:val="18"/>
                <w:szCs w:val="18"/>
                <w:shd w:val="clear" w:color="auto" w:fill="FFFFFF"/>
                <w:lang w:val="ro-MD" w:eastAsia="ro-MD"/>
              </w:rPr>
              <w:t>se asigură că propriul cadru de gestionare a riscului de credit al contrapărții ține seama, într-un mod pe care Banca Națională a Moldovei îl consideră satisfăcător, de riscurile de lichiditate ale tuturor elementelor următoare:</w:t>
            </w:r>
          </w:p>
          <w:p w14:paraId="165D7467" w14:textId="0209E992"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194</w:t>
            </w:r>
            <w:r w:rsidR="002A75A8" w:rsidRPr="008070DB">
              <w:rPr>
                <w:color w:val="000000"/>
                <w:sz w:val="18"/>
                <w:szCs w:val="18"/>
                <w:shd w:val="clear" w:color="auto" w:fill="FFFFFF"/>
                <w:lang w:val="ro-MD" w:eastAsia="ro-MD"/>
              </w:rPr>
              <w:t>.1. potențialele apeluri în marjă primite în contextul schimburilor de marje de variație sau de alte tipuri de marje, precum marja inițială sau independentă, în condiții de șoc negativ pe piață;</w:t>
            </w:r>
          </w:p>
          <w:p w14:paraId="1A474F97" w14:textId="79E62F61"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194</w:t>
            </w:r>
            <w:r w:rsidR="002A75A8" w:rsidRPr="008070DB">
              <w:rPr>
                <w:color w:val="000000"/>
                <w:sz w:val="18"/>
                <w:szCs w:val="18"/>
                <w:shd w:val="clear" w:color="auto" w:fill="FFFFFF"/>
                <w:lang w:val="ro-MD" w:eastAsia="ro-MD"/>
              </w:rPr>
              <w:t>.2. potențiale apeluri primite pentru restituirea garanțiilor reale excedentare furnizate de contraparte;</w:t>
            </w:r>
          </w:p>
          <w:p w14:paraId="3CC501DD" w14:textId="6D2AA132" w:rsidR="002A75A8" w:rsidRPr="008070DB" w:rsidRDefault="00841505" w:rsidP="002A75A8">
            <w:pPr>
              <w:jc w:val="both"/>
              <w:rPr>
                <w:color w:val="000000"/>
                <w:sz w:val="18"/>
                <w:szCs w:val="18"/>
                <w:shd w:val="clear" w:color="auto" w:fill="FFFFFF"/>
                <w:lang w:val="ro-MD" w:eastAsia="ro-MD"/>
              </w:rPr>
            </w:pPr>
            <w:r>
              <w:rPr>
                <w:color w:val="000000"/>
                <w:sz w:val="18"/>
                <w:szCs w:val="18"/>
                <w:shd w:val="clear" w:color="auto" w:fill="FFFFFF"/>
                <w:lang w:val="ro-MD" w:eastAsia="ro-MD"/>
              </w:rPr>
              <w:t>194</w:t>
            </w:r>
            <w:r w:rsidR="002A75A8" w:rsidRPr="008070DB">
              <w:rPr>
                <w:color w:val="000000"/>
                <w:sz w:val="18"/>
                <w:szCs w:val="18"/>
                <w:shd w:val="clear" w:color="auto" w:fill="FFFFFF"/>
                <w:lang w:val="ro-MD" w:eastAsia="ro-MD"/>
              </w:rPr>
              <w:t>.3. apeluri rezultând dintr-o potențială retrogradare a propriei evaluări externe a calității creditului.</w:t>
            </w:r>
          </w:p>
          <w:p w14:paraId="6CE542FD" w14:textId="5AD2CE19" w:rsidR="002A75A8" w:rsidRPr="008070DB" w:rsidRDefault="00841505" w:rsidP="002A75A8">
            <w:pPr>
              <w:jc w:val="both"/>
              <w:rPr>
                <w:color w:val="000000"/>
                <w:sz w:val="18"/>
                <w:szCs w:val="18"/>
                <w:shd w:val="clear" w:color="auto" w:fill="FFFFFF"/>
                <w:lang w:val="ro-MD" w:eastAsia="ro-MD"/>
              </w:rPr>
            </w:pPr>
            <w:r>
              <w:rPr>
                <w:b/>
                <w:bCs/>
                <w:color w:val="000000"/>
                <w:sz w:val="18"/>
                <w:szCs w:val="18"/>
                <w:shd w:val="clear" w:color="auto" w:fill="FFFFFF"/>
                <w:lang w:val="ro-MD" w:eastAsia="ro-MD"/>
              </w:rPr>
              <w:t>195</w:t>
            </w:r>
            <w:r w:rsidR="002A75A8" w:rsidRPr="008070DB">
              <w:rPr>
                <w:b/>
                <w:bCs/>
                <w:color w:val="000000"/>
                <w:sz w:val="18"/>
                <w:szCs w:val="18"/>
                <w:shd w:val="clear" w:color="auto" w:fill="FFFFFF"/>
                <w:lang w:val="ro-MD" w:eastAsia="ro-MD"/>
              </w:rPr>
              <w:t>.</w:t>
            </w:r>
            <w:r w:rsidR="002A75A8" w:rsidRPr="008070DB">
              <w:rPr>
                <w:color w:val="000000"/>
                <w:sz w:val="18"/>
                <w:szCs w:val="18"/>
                <w:shd w:val="clear" w:color="auto" w:fill="FFFFFF"/>
                <w:lang w:val="ro-MD" w:eastAsia="ro-MD"/>
              </w:rPr>
              <w:t xml:space="preserve"> Banca se asigură că natura și durata reutilizării garanțiilor reale corespund nevoilor sale de lichiditate și nu pun în pericol capacitatea sa de a furniza sau de a restitui rapid garanții reale.</w:t>
            </w:r>
          </w:p>
          <w:p w14:paraId="3247DD98" w14:textId="6002E241" w:rsidR="002A75A8" w:rsidRPr="008070DB" w:rsidRDefault="00841505" w:rsidP="002A75A8">
            <w:pPr>
              <w:jc w:val="both"/>
              <w:rPr>
                <w:color w:val="000000"/>
                <w:sz w:val="18"/>
                <w:szCs w:val="18"/>
                <w:shd w:val="clear" w:color="auto" w:fill="FFFFFF"/>
                <w:lang w:val="ro-MD" w:eastAsia="ro-MD"/>
              </w:rPr>
            </w:pPr>
            <w:r>
              <w:rPr>
                <w:b/>
                <w:bCs/>
                <w:color w:val="000000"/>
                <w:sz w:val="18"/>
                <w:szCs w:val="18"/>
                <w:shd w:val="clear" w:color="auto" w:fill="FFFFFF"/>
                <w:lang w:val="ro-MD" w:eastAsia="ro-MD"/>
              </w:rPr>
              <w:t>196</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 xml:space="preserve">Organul de conducere a unei bănci trebuie să fie implicate activ în gestionarea riscului de credit al contrapărții, pentru care trebuie să se asigure că sunt alocate resurse adecvate. </w:t>
            </w:r>
            <w:r w:rsidR="00843A5B" w:rsidRPr="008070DB">
              <w:rPr>
                <w:color w:val="000000"/>
                <w:sz w:val="18"/>
                <w:szCs w:val="18"/>
                <w:shd w:val="clear" w:color="auto" w:fill="FFFFFF"/>
                <w:lang w:val="ro-MD" w:eastAsia="ro-MD"/>
              </w:rPr>
              <w:t xml:space="preserve"> Organul de conducere </w:t>
            </w:r>
            <w:r w:rsidR="002A75A8" w:rsidRPr="008070DB">
              <w:rPr>
                <w:color w:val="000000"/>
                <w:sz w:val="18"/>
                <w:szCs w:val="18"/>
                <w:shd w:val="clear" w:color="auto" w:fill="FFFFFF"/>
                <w:lang w:val="ro-MD" w:eastAsia="ro-MD"/>
              </w:rPr>
              <w:t xml:space="preserve">trebuie să cunoască, prin intermediul unui proces formal, limitele modelului utilizat și ipotezele pe care se bazează acesta, precum și impactul acestor limitări și ipoteze asupra credibilității rezultatelor. </w:t>
            </w:r>
            <w:r w:rsidR="005507F9" w:rsidRPr="008070DB">
              <w:rPr>
                <w:color w:val="000000"/>
                <w:sz w:val="18"/>
                <w:szCs w:val="18"/>
                <w:shd w:val="clear" w:color="auto" w:fill="FFFFFF"/>
                <w:lang w:val="ro-MD" w:eastAsia="ro-MD"/>
              </w:rPr>
              <w:t xml:space="preserve"> Organul de conducere </w:t>
            </w:r>
            <w:r w:rsidR="002A75A8" w:rsidRPr="008070DB">
              <w:rPr>
                <w:color w:val="000000"/>
                <w:sz w:val="18"/>
                <w:szCs w:val="18"/>
                <w:shd w:val="clear" w:color="auto" w:fill="FFFFFF"/>
                <w:lang w:val="ro-MD" w:eastAsia="ro-MD"/>
              </w:rPr>
              <w:t>trebuie să aibă, de asemenea, cunoștință de incertitudinile pieței și ale aspectelor operaționale, precum și de modul în care acestea sunt luate în considerare de model.</w:t>
            </w:r>
          </w:p>
          <w:p w14:paraId="0A0CE976" w14:textId="466453A8" w:rsidR="002A75A8" w:rsidRPr="008070DB" w:rsidRDefault="00841505" w:rsidP="002A75A8">
            <w:pPr>
              <w:jc w:val="both"/>
              <w:rPr>
                <w:b/>
                <w:bCs/>
                <w:color w:val="000000"/>
                <w:sz w:val="18"/>
                <w:szCs w:val="18"/>
                <w:shd w:val="clear" w:color="auto" w:fill="FFFFFF"/>
                <w:lang w:val="ro-MD" w:eastAsia="ro-MD"/>
              </w:rPr>
            </w:pPr>
            <w:r>
              <w:rPr>
                <w:b/>
                <w:bCs/>
                <w:color w:val="000000"/>
                <w:sz w:val="18"/>
                <w:szCs w:val="18"/>
                <w:shd w:val="clear" w:color="auto" w:fill="FFFFFF"/>
                <w:lang w:val="ro-MD" w:eastAsia="ro-MD"/>
              </w:rPr>
              <w:t>197</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 xml:space="preserve">Rapoartele zilnice cu privire la expunerile băncii la riscul de credit al contrapărții, elaborate în conformitate cu </w:t>
            </w:r>
            <w:r w:rsidR="002A75A8" w:rsidRPr="008070DB">
              <w:rPr>
                <w:color w:val="000000"/>
                <w:sz w:val="18"/>
                <w:szCs w:val="18"/>
                <w:highlight w:val="lightGray"/>
                <w:shd w:val="clear" w:color="auto" w:fill="FFFFFF"/>
                <w:lang w:val="ro-MD" w:eastAsia="ro-MD"/>
              </w:rPr>
              <w:t>subpunctul 2</w:t>
            </w:r>
            <w:r>
              <w:rPr>
                <w:color w:val="000000"/>
                <w:sz w:val="18"/>
                <w:szCs w:val="18"/>
                <w:highlight w:val="lightGray"/>
                <w:shd w:val="clear" w:color="auto" w:fill="FFFFFF"/>
                <w:lang w:val="ro-MD" w:eastAsia="ro-MD"/>
              </w:rPr>
              <w:t>02</w:t>
            </w:r>
            <w:r w:rsidR="002A75A8" w:rsidRPr="008070DB">
              <w:rPr>
                <w:color w:val="000000"/>
                <w:sz w:val="18"/>
                <w:szCs w:val="18"/>
                <w:highlight w:val="lightGray"/>
                <w:shd w:val="clear" w:color="auto" w:fill="FFFFFF"/>
                <w:lang w:val="ro-MD" w:eastAsia="ro-MD"/>
              </w:rPr>
              <w:t>.2.,</w:t>
            </w:r>
            <w:r w:rsidR="002A75A8" w:rsidRPr="008070DB">
              <w:rPr>
                <w:color w:val="000000"/>
                <w:sz w:val="18"/>
                <w:szCs w:val="18"/>
                <w:shd w:val="clear" w:color="auto" w:fill="FFFFFF"/>
                <w:lang w:val="ro-MD" w:eastAsia="ro-MD"/>
              </w:rPr>
              <w:t xml:space="preserve"> trebuie să fie analizate de un nivel al conducerii cu o poziție ierarhică și o autoritate suficiente pentru a impune atât reduceri ale pozițiilor luate în mod individual de administratorii de credite sau de personalul care tranzacționează, cât și reduceri ale expunerii globale a băncii la riscul de credit al contrapărții.</w:t>
            </w:r>
          </w:p>
          <w:p w14:paraId="2C651428" w14:textId="12E851D9" w:rsidR="002A75A8" w:rsidRPr="008070DB" w:rsidRDefault="00841505" w:rsidP="002A75A8">
            <w:pPr>
              <w:jc w:val="both"/>
              <w:rPr>
                <w:b/>
                <w:bCs/>
                <w:color w:val="000000"/>
                <w:sz w:val="18"/>
                <w:szCs w:val="18"/>
                <w:shd w:val="clear" w:color="auto" w:fill="FFFFFF"/>
                <w:lang w:val="ro-MD" w:eastAsia="ro-MD"/>
              </w:rPr>
            </w:pPr>
            <w:r>
              <w:rPr>
                <w:b/>
                <w:bCs/>
                <w:color w:val="000000"/>
                <w:sz w:val="18"/>
                <w:szCs w:val="18"/>
                <w:shd w:val="clear" w:color="auto" w:fill="FFFFFF"/>
                <w:lang w:val="ro-MD" w:eastAsia="ro-MD"/>
              </w:rPr>
              <w:lastRenderedPageBreak/>
              <w:t>198</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 xml:space="preserve">Cadrul de gestionare a riscului de credit al contrapărții stabilit de bancă în conformitate cu </w:t>
            </w:r>
            <w:r w:rsidR="002A75A8" w:rsidRPr="00D80667">
              <w:rPr>
                <w:color w:val="000000"/>
                <w:sz w:val="18"/>
                <w:szCs w:val="18"/>
                <w:highlight w:val="lightGray"/>
                <w:shd w:val="clear" w:color="auto" w:fill="FFFFFF"/>
                <w:lang w:val="ro-MD" w:eastAsia="ro-MD"/>
              </w:rPr>
              <w:t xml:space="preserve">punctele </w:t>
            </w:r>
            <w:r w:rsidR="00D80667" w:rsidRPr="00D80667">
              <w:rPr>
                <w:color w:val="000000"/>
                <w:sz w:val="18"/>
                <w:szCs w:val="18"/>
                <w:highlight w:val="lightGray"/>
                <w:shd w:val="clear" w:color="auto" w:fill="FFFFFF"/>
                <w:lang w:val="ro-MD" w:eastAsia="ro-MD"/>
              </w:rPr>
              <w:t>191</w:t>
            </w:r>
            <w:r w:rsidR="002A75A8" w:rsidRPr="00D80667">
              <w:rPr>
                <w:color w:val="000000"/>
                <w:sz w:val="18"/>
                <w:szCs w:val="18"/>
                <w:highlight w:val="lightGray"/>
                <w:shd w:val="clear" w:color="auto" w:fill="FFFFFF"/>
                <w:lang w:val="ro-MD" w:eastAsia="ro-MD"/>
              </w:rPr>
              <w:t xml:space="preserve"> și </w:t>
            </w:r>
            <w:r w:rsidR="00D80667" w:rsidRPr="00D80667">
              <w:rPr>
                <w:color w:val="000000"/>
                <w:sz w:val="18"/>
                <w:szCs w:val="18"/>
                <w:highlight w:val="lightGray"/>
                <w:shd w:val="clear" w:color="auto" w:fill="FFFFFF"/>
                <w:lang w:val="ro-MD" w:eastAsia="ro-MD"/>
              </w:rPr>
              <w:t>192</w:t>
            </w:r>
            <w:r w:rsidR="002A75A8" w:rsidRPr="008070DB">
              <w:rPr>
                <w:color w:val="000000"/>
                <w:sz w:val="18"/>
                <w:szCs w:val="18"/>
                <w:shd w:val="clear" w:color="auto" w:fill="FFFFFF"/>
                <w:lang w:val="ro-MD" w:eastAsia="ro-MD"/>
              </w:rPr>
              <w:t xml:space="preserve"> trebuie să fie utilizat în strânsă legătură cu limitele interne de creditare și de tranzacționare. Limitele de creditare și de tranzacționare trebuie să fie corelate cu modelul de măsurare a riscului al băncii într-un mod care este consecvent în timp și corect înțeles de administratorii de credite, de personalul care tranzacționează și de </w:t>
            </w:r>
            <w:r w:rsidR="001C3DB0" w:rsidRPr="008070DB">
              <w:rPr>
                <w:color w:val="000000"/>
                <w:sz w:val="18"/>
                <w:szCs w:val="18"/>
                <w:shd w:val="clear" w:color="auto" w:fill="FFFFFF"/>
                <w:lang w:val="ro-MD" w:eastAsia="ro-MD"/>
              </w:rPr>
              <w:t xml:space="preserve">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 xml:space="preserve">rganul de conducere </w:t>
            </w:r>
            <w:r w:rsidR="002A75A8" w:rsidRPr="008070DB">
              <w:rPr>
                <w:color w:val="000000"/>
                <w:sz w:val="18"/>
                <w:szCs w:val="18"/>
                <w:shd w:val="clear" w:color="auto" w:fill="FFFFFF"/>
                <w:lang w:val="ro-MD" w:eastAsia="ro-MD"/>
              </w:rPr>
              <w:t>. Banca trebuie să dispună de un proces formal de raportare a încălcărilor limitelor de risc către nivelul de conducere corespunzător.</w:t>
            </w:r>
          </w:p>
          <w:p w14:paraId="3CC31687" w14:textId="4B96468B" w:rsidR="002A75A8" w:rsidRPr="008070DB" w:rsidRDefault="00D80667" w:rsidP="002A75A8">
            <w:pPr>
              <w:jc w:val="both"/>
              <w:rPr>
                <w:color w:val="000000"/>
                <w:sz w:val="18"/>
                <w:szCs w:val="18"/>
                <w:shd w:val="clear" w:color="auto" w:fill="FFFFFF"/>
                <w:lang w:val="ro-MD" w:eastAsia="ro-MD"/>
              </w:rPr>
            </w:pPr>
            <w:r>
              <w:rPr>
                <w:b/>
                <w:bCs/>
                <w:color w:val="000000"/>
                <w:sz w:val="18"/>
                <w:szCs w:val="18"/>
                <w:shd w:val="clear" w:color="auto" w:fill="FFFFFF"/>
                <w:lang w:val="ro-MD" w:eastAsia="ro-MD"/>
              </w:rPr>
              <w:t>199</w:t>
            </w:r>
            <w:r w:rsidR="002A75A8" w:rsidRPr="008070DB">
              <w:rPr>
                <w:b/>
                <w:bCs/>
                <w:color w:val="000000"/>
                <w:sz w:val="18"/>
                <w:szCs w:val="18"/>
                <w:shd w:val="clear" w:color="auto" w:fill="FFFFFF"/>
                <w:lang w:val="ro-MD" w:eastAsia="ro-MD"/>
              </w:rPr>
              <w:t xml:space="preserve">. </w:t>
            </w:r>
            <w:r w:rsidR="002A75A8" w:rsidRPr="008070DB">
              <w:rPr>
                <w:color w:val="000000"/>
                <w:sz w:val="18"/>
                <w:szCs w:val="18"/>
                <w:shd w:val="clear" w:color="auto" w:fill="FFFFFF"/>
                <w:lang w:val="ro-MD" w:eastAsia="ro-MD"/>
              </w:rPr>
              <w:t>Măsurarea de către bancă a riscului de credit al contrapărții trebuie să includă măsurarea zilnică și în cadrul unei zile a utilizării liniilor de credit. Banca trebuie să măsoare expunerea curentă brută și netă de garanții reale. La nivel de portofoliu și de contraparte, banca trebuie să calculeze și să monitorizeze expunerea maximă sau expunerea viitoare potențială la un interval de încredere pe care îl alege. Banca trebuie să țină seama de pozițiile importante sau concentrate, inclusiv pe grupuri de contrapărți aflate în legătură, pe sector industrial și pe piață.</w:t>
            </w:r>
          </w:p>
          <w:p w14:paraId="23440446" w14:textId="352B7E1F" w:rsidR="002A75A8" w:rsidRPr="008070DB" w:rsidRDefault="002A75A8" w:rsidP="002A75A8">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20</w:t>
            </w:r>
            <w:r w:rsidR="00D80667">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stabilească și să mențină un program de simulare de criză sistematic și riguros. Rezultatele acestor simulări de criză trebuie analizate cu regularitate, cel puțin trimestrial, de către </w:t>
            </w:r>
            <w:r w:rsidR="001C3DB0" w:rsidRPr="008070DB">
              <w:rPr>
                <w:color w:val="000000"/>
                <w:sz w:val="18"/>
                <w:szCs w:val="18"/>
                <w:shd w:val="clear" w:color="auto" w:fill="FFFFFF"/>
                <w:lang w:val="ro-MD" w:eastAsia="ro-MD"/>
              </w:rPr>
              <w:t xml:space="preserve">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 xml:space="preserve">rganul de conducere </w:t>
            </w:r>
            <w:r w:rsidRPr="008070DB">
              <w:rPr>
                <w:color w:val="000000"/>
                <w:sz w:val="18"/>
                <w:szCs w:val="18"/>
                <w:shd w:val="clear" w:color="auto" w:fill="FFFFFF"/>
                <w:lang w:val="ro-MD" w:eastAsia="ro-MD"/>
              </w:rPr>
              <w:t>și trebuie să se regăsească în politicile și în limitele privind riscul de credit al contrapărții, stabilite de organul de conducere. Dacă simulările de criză evidențiază o anumită vulnerabilitate față de un ansamblu de circumstanțe dat, banca trebuie să ia măsuri prompte de administrare a acestor riscuri.</w:t>
            </w:r>
          </w:p>
          <w:p w14:paraId="1F0E6626" w14:textId="77777777" w:rsidR="00236954" w:rsidRPr="008070DB" w:rsidRDefault="00236954"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8FEA73A"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CAA151E"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A6D6B96"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E5B4313"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6425CE2"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BC8E7B4"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F302349"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A44474D"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E234864"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7EDBE252"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4CAA105"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F6B9513"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15BF68D9"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D25BA04"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15F9B86"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241994F6"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2909E79"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3579A7F8"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4F65D5F9"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FA00A52"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64A173B2"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B48DA29"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D9511B8"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546E4FE1" w14:textId="77777777"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p>
          <w:p w14:paraId="09F54BD0" w14:textId="46A5FA15" w:rsidR="002A75A8" w:rsidRPr="008070DB" w:rsidRDefault="002A75A8" w:rsidP="002A75A8">
            <w:pPr>
              <w:autoSpaceDE w:val="0"/>
              <w:autoSpaceDN w:val="0"/>
              <w:adjustRightInd w:val="0"/>
              <w:spacing w:before="60" w:after="60"/>
              <w:jc w:val="both"/>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226A2190" w14:textId="2BB32A80" w:rsidR="00236954" w:rsidRPr="00A96E09" w:rsidRDefault="002A75A8" w:rsidP="00236954">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5C96513A" w14:textId="77777777" w:rsidR="00236954" w:rsidRPr="00A96E09" w:rsidRDefault="00236954" w:rsidP="00236954">
            <w:pPr>
              <w:rPr>
                <w:sz w:val="18"/>
                <w:szCs w:val="18"/>
                <w:lang w:val="ro-MD"/>
              </w:rPr>
            </w:pPr>
          </w:p>
        </w:tc>
      </w:tr>
      <w:tr w:rsidR="007A7F9D" w:rsidRPr="007C0793" w14:paraId="0EDD59E4" w14:textId="77777777" w:rsidTr="00C14AF6">
        <w:trPr>
          <w:trHeight w:val="918"/>
        </w:trPr>
        <w:tc>
          <w:tcPr>
            <w:tcW w:w="3866" w:type="dxa"/>
          </w:tcPr>
          <w:p w14:paraId="78E7AF24" w14:textId="6DA6A4A4" w:rsidR="007A7F9D" w:rsidRPr="004C4B75" w:rsidRDefault="007A7F9D" w:rsidP="004C4B75">
            <w:pPr>
              <w:shd w:val="clear" w:color="auto" w:fill="FFFFFF"/>
              <w:spacing w:before="240" w:after="120"/>
              <w:jc w:val="both"/>
              <w:rPr>
                <w:b/>
                <w:bCs/>
                <w:color w:val="000000"/>
                <w:sz w:val="18"/>
                <w:szCs w:val="18"/>
                <w:lang w:val="ro-MD" w:eastAsia="ro-MD"/>
              </w:rPr>
            </w:pPr>
            <w:r w:rsidRPr="004C4B75">
              <w:rPr>
                <w:i/>
                <w:iCs/>
                <w:color w:val="000000"/>
                <w:sz w:val="18"/>
                <w:szCs w:val="18"/>
                <w:lang w:val="ro-MD" w:eastAsia="ro-MD"/>
              </w:rPr>
              <w:lastRenderedPageBreak/>
              <w:t>Articolul 287</w:t>
            </w:r>
            <w:r>
              <w:rPr>
                <w:i/>
                <w:iCs/>
                <w:color w:val="000000"/>
                <w:sz w:val="18"/>
                <w:szCs w:val="18"/>
                <w:lang w:val="ro-MD" w:eastAsia="ro-MD"/>
              </w:rPr>
              <w:t xml:space="preserve"> </w:t>
            </w:r>
            <w:r w:rsidRPr="004C4B75">
              <w:rPr>
                <w:b/>
                <w:bCs/>
                <w:color w:val="000000"/>
                <w:sz w:val="18"/>
                <w:szCs w:val="18"/>
                <w:lang w:val="ro-MD" w:eastAsia="ro-MD"/>
              </w:rPr>
              <w:t>Structuri organizatorice de gestionare a riscului de credit al contrapărții</w:t>
            </w:r>
          </w:p>
          <w:p w14:paraId="388EE081" w14:textId="57FB8A41"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(1) O instituție care utilizează MMI înființează și menține:</w:t>
            </w:r>
          </w:p>
          <w:p w14:paraId="40909D2F" w14:textId="67F3BF98"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(a) o unitate de control al riscului care se conformează alineatului (2);</w:t>
            </w:r>
          </w:p>
          <w:p w14:paraId="7C5D0B32" w14:textId="0D0A1E36"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(b) o unitate de administrare a garanțiilor reale care se conformează alineatului (3).</w:t>
            </w:r>
          </w:p>
          <w:p w14:paraId="06BB18EB" w14:textId="75F15EA8"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lastRenderedPageBreak/>
              <w:t>(2) Unitatea de control al riscului este responsabilă pentru conceperea și implementarea sistemului său de gestionare a riscului de credit al contrapărții, inclusiv pentru validarea inițială și apoi permanentă a modelului, și îndeplinește următoarele funcții și cerințe:</w:t>
            </w:r>
          </w:p>
          <w:p w14:paraId="68F51BC1" w14:textId="47C943B9"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(a) este responsabilă pentru conceperea și implementarea sistemului instituției de gestionare a riscului de credit al contrapărții;</w:t>
            </w:r>
          </w:p>
          <w:p w14:paraId="30E8B033" w14:textId="0F37F13E"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(b) elaborează rapoarte zilnice cu privire la rezultatele modelului de măsurare a riscului al instituției și analizează aceste rezultate. Această analiză include o evaluare a legăturii dintre măsurările valorilor expunerii la riscul de credit al contrapărții și limitele de tranzacționare;</w:t>
            </w:r>
          </w:p>
          <w:p w14:paraId="7AB25709" w14:textId="702E939D"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(c) verifică integritatea datelor de intrare și elaborează și analizează rapoarte cu privire la rezultatele modelului de măsurare a riscurilor al instituției, inclusiv o evaluare a legăturii dintre măsurările expunerii la risc și limitele de creditare și de tranzacționare;</w:t>
            </w:r>
          </w:p>
          <w:p w14:paraId="796DBC0B" w14:textId="45E1E1CD"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(d) este independentă de unitățile responsabile cu inițierea, reînnoirea sau tranzacționarea expunerilor și nu este supusă niciunei influențe necuvenite;</w:t>
            </w:r>
          </w:p>
          <w:p w14:paraId="3A670734" w14:textId="05A04161"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(e) dispune de personal adecvat;</w:t>
            </w:r>
          </w:p>
          <w:p w14:paraId="26521EA3" w14:textId="6FF8D9C9"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(f) raportează direct conducerii superioare a instituției;</w:t>
            </w:r>
          </w:p>
          <w:p w14:paraId="14A1735A" w14:textId="7944A43F"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(g)</w:t>
            </w:r>
            <w:r>
              <w:rPr>
                <w:color w:val="000000"/>
                <w:sz w:val="18"/>
                <w:szCs w:val="18"/>
                <w:lang w:val="ro-MD" w:eastAsia="ro-MD"/>
              </w:rPr>
              <w:t xml:space="preserve"> </w:t>
            </w:r>
            <w:r w:rsidRPr="004C4B75">
              <w:rPr>
                <w:color w:val="000000"/>
                <w:sz w:val="18"/>
                <w:szCs w:val="18"/>
                <w:lang w:val="ro-MD" w:eastAsia="ro-MD"/>
              </w:rPr>
              <w:t>activitatea sa este integrată în procesul zilnic de gestionare a riscului de credit al instituției;</w:t>
            </w:r>
          </w:p>
          <w:p w14:paraId="0B5DC242" w14:textId="595DEF5C"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(h) rezultatele sale fac parte integrantă din procesul de planificare, monitorizare și control al profilului de risc de credit și al profilului general de risc al instituției.</w:t>
            </w:r>
          </w:p>
          <w:p w14:paraId="31F5C566" w14:textId="00C5DC24"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(3) Unitatea de administrare a garanțiilor reale îndeplinește următoarele sarcini și funcții:</w:t>
            </w:r>
          </w:p>
          <w:p w14:paraId="44589DDA" w14:textId="419B0EAB"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(a) calculează și efectuează apeluri în marjă, administrează litigiile privind apelurile în marjă și raportează zilnic, cu exactitate, nivelurile sumelor independente, ale marjele inițiale și ale marjelor de variație;</w:t>
            </w:r>
          </w:p>
          <w:p w14:paraId="75CEB58F" w14:textId="748E9BCC"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lastRenderedPageBreak/>
              <w:t>(b) verifică integritatea datelor utilizate pentru a efectua apeluri în marjă și asigură faptul că acestea sunt coerente și reconciliate cu regularitate cu toate sursele relevante de date din cadrul instituției;</w:t>
            </w:r>
          </w:p>
          <w:p w14:paraId="36299BB2" w14:textId="1DFBD912"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(c) urmărește gradul de reutilizare a garanțiilor reale și orice modificare a drepturilor instituției asupra garanțiilor reale pe care le furnizează, sau legate de acestea;</w:t>
            </w:r>
          </w:p>
          <w:p w14:paraId="37F578FF" w14:textId="61C35A09"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(d) raportează nivelului de conducere corespunzător tipurile de active date în garanție care sunt reutilizate și condițiile acestei reutilizări, inclusiv instrumentul, calitatea creditului și scadența;</w:t>
            </w:r>
          </w:p>
          <w:p w14:paraId="3F73C39E" w14:textId="1E61E496"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(e) urmărește concentrarea tipurilor de active acceptate în garanție de instituție;</w:t>
            </w:r>
          </w:p>
          <w:p w14:paraId="28C76144" w14:textId="2C8B15C0" w:rsidR="007A7F9D" w:rsidRPr="004C4B75"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(f) raportează conducerii superioare informații privind gestionarea garanțiilor reale cu regularitate, cel puțin trimestrial, inclusiv informații cu privire la tipul de garanții reale primite sau furnizate și la amploarea, vechimea și cauza litigiilor privind apelurile în marjă. Această raportare internă reflectă, de asemenea, tendințele indicatorilor numerici respectivi.</w:t>
            </w:r>
          </w:p>
          <w:p w14:paraId="04E4392A" w14:textId="77777777" w:rsidR="007A7F9D" w:rsidRDefault="007A7F9D" w:rsidP="004C4B75">
            <w:pPr>
              <w:shd w:val="clear" w:color="auto" w:fill="FFFFFF"/>
              <w:jc w:val="both"/>
              <w:rPr>
                <w:color w:val="000000"/>
                <w:sz w:val="18"/>
                <w:szCs w:val="18"/>
                <w:lang w:val="ro-MD" w:eastAsia="ro-MD"/>
              </w:rPr>
            </w:pPr>
            <w:r w:rsidRPr="004C4B75">
              <w:rPr>
                <w:color w:val="000000"/>
                <w:sz w:val="18"/>
                <w:szCs w:val="18"/>
                <w:lang w:val="ro-MD" w:eastAsia="ro-MD"/>
              </w:rPr>
              <w:t>(4)</w:t>
            </w:r>
            <w:r>
              <w:rPr>
                <w:color w:val="000000"/>
                <w:sz w:val="18"/>
                <w:szCs w:val="18"/>
                <w:lang w:val="ro-MD" w:eastAsia="ro-MD"/>
              </w:rPr>
              <w:t xml:space="preserve"> C</w:t>
            </w:r>
            <w:r w:rsidRPr="004C4B75">
              <w:rPr>
                <w:color w:val="000000"/>
                <w:sz w:val="18"/>
                <w:szCs w:val="18"/>
                <w:lang w:val="ro-MD" w:eastAsia="ro-MD"/>
              </w:rPr>
              <w:t>onducerea superioară trebuie să aloce suficiente resurse unității de gestionare a garanțiilor reale, prevăzută la alineatul (1) litera (b), pentru a se asigura că sistemele acesteia ating un nivel adecvat de performanță operațională, măsurat prin promptitudinea și acuratețea apelurilor în marjă ale instituției și prin promptitudinea răspunsului instituției la apelurile în marjă ale contrapărților sale. Conducerea superioară trebuie să se asigure că unitatea dispune de personal adecvat pentru a procesa rapid apelurile și litigiile, chiar în condiții de criză gravă a pieței, și pentru a permite instituției să își limiteze numărul de litigii importante, cauzate de volumul de tranzacții.</w:t>
            </w:r>
          </w:p>
          <w:p w14:paraId="4D3E4F22" w14:textId="2CEF17E8" w:rsidR="007A7F9D" w:rsidRPr="004C4B75" w:rsidRDefault="007A7F9D" w:rsidP="004C4B75">
            <w:pPr>
              <w:shd w:val="clear" w:color="auto" w:fill="FFFFFF"/>
              <w:jc w:val="both"/>
              <w:rPr>
                <w:color w:val="000000"/>
                <w:sz w:val="18"/>
                <w:szCs w:val="18"/>
                <w:lang w:val="ro-MD" w:eastAsia="ro-MD"/>
              </w:rPr>
            </w:pPr>
          </w:p>
        </w:tc>
        <w:tc>
          <w:tcPr>
            <w:tcW w:w="4356" w:type="dxa"/>
            <w:vMerge w:val="restart"/>
          </w:tcPr>
          <w:p w14:paraId="3A3874B2" w14:textId="77777777" w:rsidR="007A7F9D" w:rsidRPr="008070DB" w:rsidRDefault="007A7F9D" w:rsidP="004C4B75">
            <w:pPr>
              <w:ind w:hanging="15"/>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4-a</w:t>
            </w:r>
          </w:p>
          <w:p w14:paraId="22E19EAB" w14:textId="77777777" w:rsidR="007A7F9D" w:rsidRPr="008070DB" w:rsidRDefault="007A7F9D" w:rsidP="004C4B75">
            <w:pPr>
              <w:ind w:hanging="15"/>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Structuri organizatorice de gestionare și reexaminarea sistemului de gestionare a riscului de credit al contrapărții</w:t>
            </w:r>
          </w:p>
          <w:p w14:paraId="4490BCF8" w14:textId="6318587C" w:rsidR="007A7F9D" w:rsidRPr="008070DB" w:rsidRDefault="007A7F9D" w:rsidP="004C4B75">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20</w:t>
            </w:r>
            <w:r w:rsidR="00D80667">
              <w:rPr>
                <w:b/>
                <w:bCs/>
                <w:color w:val="000000"/>
                <w:sz w:val="18"/>
                <w:szCs w:val="18"/>
                <w:shd w:val="clear" w:color="auto" w:fill="FFFFFF"/>
                <w:lang w:val="ro-MD" w:eastAsia="ro-MD"/>
              </w:rPr>
              <w:t>1</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care utilizează </w:t>
            </w:r>
            <w:r w:rsidRPr="008070DB">
              <w:rPr>
                <w:sz w:val="18"/>
                <w:szCs w:val="18"/>
                <w:lang w:val="ro-MD" w:eastAsia="ro-MD"/>
              </w:rPr>
              <w:t>metoda modelului intern</w:t>
            </w:r>
            <w:r w:rsidRPr="008070DB">
              <w:rPr>
                <w:color w:val="000000"/>
                <w:sz w:val="18"/>
                <w:szCs w:val="18"/>
                <w:shd w:val="clear" w:color="auto" w:fill="FFFFFF"/>
                <w:lang w:val="ro-MD" w:eastAsia="ro-MD"/>
              </w:rPr>
              <w:t xml:space="preserve"> înființează și menține:</w:t>
            </w:r>
          </w:p>
          <w:p w14:paraId="7FAE4E6E" w14:textId="07E3D010"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01</w:t>
            </w:r>
            <w:r w:rsidRPr="008070DB">
              <w:rPr>
                <w:color w:val="000000"/>
                <w:sz w:val="18"/>
                <w:szCs w:val="18"/>
                <w:shd w:val="clear" w:color="auto" w:fill="FFFFFF"/>
                <w:lang w:val="ro-MD" w:eastAsia="ro-MD"/>
              </w:rPr>
              <w:t xml:space="preserve">.1. o unitate de control al riscului care se conformează </w:t>
            </w:r>
            <w:r w:rsidRPr="008070DB">
              <w:rPr>
                <w:color w:val="000000"/>
                <w:sz w:val="18"/>
                <w:szCs w:val="18"/>
                <w:highlight w:val="lightGray"/>
                <w:shd w:val="clear" w:color="auto" w:fill="FFFFFF"/>
                <w:lang w:val="ro-MD" w:eastAsia="ro-MD"/>
              </w:rPr>
              <w:t>punctului 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w:t>
            </w:r>
          </w:p>
          <w:p w14:paraId="5D03D815" w14:textId="5B33509F"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lastRenderedPageBreak/>
              <w:t>2</w:t>
            </w:r>
            <w:r w:rsidR="00D80667">
              <w:rPr>
                <w:color w:val="000000"/>
                <w:sz w:val="18"/>
                <w:szCs w:val="18"/>
                <w:shd w:val="clear" w:color="auto" w:fill="FFFFFF"/>
                <w:lang w:val="ro-MD" w:eastAsia="ro-MD"/>
              </w:rPr>
              <w:t>01</w:t>
            </w:r>
            <w:r w:rsidRPr="008070DB">
              <w:rPr>
                <w:color w:val="000000"/>
                <w:sz w:val="18"/>
                <w:szCs w:val="18"/>
                <w:shd w:val="clear" w:color="auto" w:fill="FFFFFF"/>
                <w:lang w:val="ro-MD" w:eastAsia="ro-MD"/>
              </w:rPr>
              <w:t xml:space="preserve">.2. o unitate de administrare a garanțiilor reale care se conformează </w:t>
            </w:r>
            <w:r w:rsidRPr="008070DB">
              <w:rPr>
                <w:color w:val="000000"/>
                <w:sz w:val="18"/>
                <w:szCs w:val="18"/>
                <w:highlight w:val="lightGray"/>
                <w:shd w:val="clear" w:color="auto" w:fill="FFFFFF"/>
                <w:lang w:val="ro-MD" w:eastAsia="ro-MD"/>
              </w:rPr>
              <w:t>punctului 2</w:t>
            </w:r>
            <w:r w:rsidR="00D80667">
              <w:rPr>
                <w:color w:val="000000"/>
                <w:sz w:val="18"/>
                <w:szCs w:val="18"/>
                <w:highlight w:val="lightGray"/>
                <w:shd w:val="clear" w:color="auto" w:fill="FFFFFF"/>
                <w:lang w:val="ro-MD" w:eastAsia="ro-MD"/>
              </w:rPr>
              <w:t>03</w:t>
            </w:r>
            <w:r w:rsidRPr="008070DB">
              <w:rPr>
                <w:color w:val="000000"/>
                <w:sz w:val="18"/>
                <w:szCs w:val="18"/>
                <w:highlight w:val="lightGray"/>
                <w:shd w:val="clear" w:color="auto" w:fill="FFFFFF"/>
                <w:lang w:val="ro-MD" w:eastAsia="ro-MD"/>
              </w:rPr>
              <w:t>.</w:t>
            </w:r>
          </w:p>
          <w:p w14:paraId="77857CDC" w14:textId="782848F3" w:rsidR="007A7F9D" w:rsidRPr="008070DB" w:rsidRDefault="007A7F9D" w:rsidP="004C4B75">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Unitatea de control al riscului este responsabilă pentru conceperea și implementarea sistemului său de gestionare a riscului de credit al contrapărții, inclusiv pentru validarea inițială și apoi permanentă a modelului, și îndeplinește următoarele funcții și cerințe:</w:t>
            </w:r>
          </w:p>
          <w:p w14:paraId="5713FEF4" w14:textId="56974DEB"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.1.este responsabilă pentru conceperea și implementarea sistemului băncii de gestionare a riscului de credit al contrapărții;</w:t>
            </w:r>
          </w:p>
          <w:p w14:paraId="3528BA5F" w14:textId="2F0B50F1"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.2. elaborează rapoarte zilnice cu privire la rezultatele modelului de măsurare a riscului al băncii și analizează aceste rezultate. Această analiză include o evaluare a legăturii dintre măsurările valorilor expunerii la riscul de credit al contrapărții și limitele de tranzacționare;</w:t>
            </w:r>
          </w:p>
          <w:p w14:paraId="76829F48" w14:textId="6FF8219E"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.3. verifică integritatea datelor de intrare și elaborează și analizează rapoarte cu privire la rezultatele modelului de măsurare a riscurilor al instituției, inclusiv o evaluare a legăturii dintre măsurările expunerii la risc și limitele de creditare și de tranzacționare;</w:t>
            </w:r>
          </w:p>
          <w:p w14:paraId="0C258605" w14:textId="2A1E7CC7"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.4. este independentă de unitățile responsabile cu inițierea, reînnoirea sau tranzacționarea expunerilor și nu este supusă niciunei influențe necuvenite;</w:t>
            </w:r>
          </w:p>
          <w:p w14:paraId="169320D8" w14:textId="19150426"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.5. dispune de personal adecvat;</w:t>
            </w:r>
          </w:p>
          <w:p w14:paraId="255FCCB2" w14:textId="69AED365"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 xml:space="preserve">.6. raportează direct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rganul</w:t>
            </w:r>
            <w:r w:rsidR="001C3DB0">
              <w:rPr>
                <w:color w:val="000000"/>
                <w:sz w:val="18"/>
                <w:szCs w:val="18"/>
                <w:shd w:val="clear" w:color="auto" w:fill="FFFFFF"/>
                <w:lang w:val="ro-MD" w:eastAsia="ro-MD"/>
              </w:rPr>
              <w:t>ui</w:t>
            </w:r>
            <w:r w:rsidR="001C3DB0" w:rsidRPr="008070DB">
              <w:rPr>
                <w:color w:val="000000"/>
                <w:sz w:val="18"/>
                <w:szCs w:val="18"/>
                <w:shd w:val="clear" w:color="auto" w:fill="FFFFFF"/>
                <w:lang w:val="ro-MD" w:eastAsia="ro-MD"/>
              </w:rPr>
              <w:t xml:space="preserve"> de conducere </w:t>
            </w:r>
            <w:r w:rsidRPr="008070DB">
              <w:rPr>
                <w:color w:val="000000"/>
                <w:sz w:val="18"/>
                <w:szCs w:val="18"/>
                <w:shd w:val="clear" w:color="auto" w:fill="FFFFFF"/>
                <w:lang w:val="ro-MD" w:eastAsia="ro-MD"/>
              </w:rPr>
              <w:t>a băncii;</w:t>
            </w:r>
          </w:p>
          <w:p w14:paraId="673C946A" w14:textId="7321FA2A"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.7. activitatea sa este integrată în procesul zilnic de gestionare a riscului de credit al instituției;</w:t>
            </w:r>
          </w:p>
          <w:p w14:paraId="1A1698DA" w14:textId="4B561DDF"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02</w:t>
            </w:r>
            <w:r w:rsidRPr="008070DB">
              <w:rPr>
                <w:color w:val="000000"/>
                <w:sz w:val="18"/>
                <w:szCs w:val="18"/>
                <w:shd w:val="clear" w:color="auto" w:fill="FFFFFF"/>
                <w:lang w:val="ro-MD" w:eastAsia="ro-MD"/>
              </w:rPr>
              <w:t>.8. rezultatele sale fac parte integrantă din procesul de planificare, monitorizare și control al profilului de risc de credit și al profilului general de risc al băncii.</w:t>
            </w:r>
          </w:p>
          <w:p w14:paraId="6FF29DB6" w14:textId="7E5833C0" w:rsidR="007A7F9D" w:rsidRPr="008070DB" w:rsidRDefault="007A7F9D" w:rsidP="004C4B75">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Unitatea de administrare a garanțiilor reale îndeplinește următoarele sarcini și funcții:</w:t>
            </w:r>
          </w:p>
          <w:p w14:paraId="49994A00" w14:textId="56EC690B"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03</w:t>
            </w:r>
            <w:r w:rsidRPr="008070DB">
              <w:rPr>
                <w:color w:val="000000"/>
                <w:sz w:val="18"/>
                <w:szCs w:val="18"/>
                <w:shd w:val="clear" w:color="auto" w:fill="FFFFFF"/>
                <w:lang w:val="ro-MD" w:eastAsia="ro-MD"/>
              </w:rPr>
              <w:t>.1. calculează și efectuează apeluri în marjă, administrează litigiile privind apelurile în marjă și raportează zilnic, cu exactitate, nivelurile sumelor independente, ale marjele inițiale și ale marjelor de variație;</w:t>
            </w:r>
          </w:p>
          <w:p w14:paraId="18B8B7A5" w14:textId="21117230"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03</w:t>
            </w:r>
            <w:r w:rsidRPr="008070DB">
              <w:rPr>
                <w:color w:val="000000"/>
                <w:sz w:val="18"/>
                <w:szCs w:val="18"/>
                <w:shd w:val="clear" w:color="auto" w:fill="FFFFFF"/>
                <w:lang w:val="ro-MD" w:eastAsia="ro-MD"/>
              </w:rPr>
              <w:t>.2. verifică integritatea datelor utilizate pentru a efectua apeluri în marjă și asigură faptul că acestea sunt coerente și reconciliate cu regularitate cu toate sursele relevante de date din cadrul băncii;</w:t>
            </w:r>
          </w:p>
          <w:p w14:paraId="016A0006" w14:textId="52CAC7FA"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lastRenderedPageBreak/>
              <w:t>2</w:t>
            </w:r>
            <w:r w:rsidR="00D80667">
              <w:rPr>
                <w:color w:val="000000"/>
                <w:sz w:val="18"/>
                <w:szCs w:val="18"/>
                <w:shd w:val="clear" w:color="auto" w:fill="FFFFFF"/>
                <w:lang w:val="ro-MD" w:eastAsia="ro-MD"/>
              </w:rPr>
              <w:t>03</w:t>
            </w:r>
            <w:r w:rsidRPr="008070DB">
              <w:rPr>
                <w:color w:val="000000"/>
                <w:sz w:val="18"/>
                <w:szCs w:val="18"/>
                <w:shd w:val="clear" w:color="auto" w:fill="FFFFFF"/>
                <w:lang w:val="ro-MD" w:eastAsia="ro-MD"/>
              </w:rPr>
              <w:t>.3. urmărește gradul de reutilizare a garanțiilor reale și orice modificare a drepturilor instituției asupra garanțiilor reale pe care le furnizează, sau legate de acestea;</w:t>
            </w:r>
          </w:p>
          <w:p w14:paraId="5A8F99CE" w14:textId="1E35DD52"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03</w:t>
            </w:r>
            <w:r w:rsidRPr="008070DB">
              <w:rPr>
                <w:color w:val="000000"/>
                <w:sz w:val="18"/>
                <w:szCs w:val="18"/>
                <w:shd w:val="clear" w:color="auto" w:fill="FFFFFF"/>
                <w:lang w:val="ro-MD" w:eastAsia="ro-MD"/>
              </w:rPr>
              <w:t>.4. raportează nivelului de conducere corespunzător tipurile de active date în garanție care sunt reutilizate și condițiile acestei reutilizări, inclusiv instrumentul, calitatea creditului și scadența;</w:t>
            </w:r>
          </w:p>
          <w:p w14:paraId="520C5372" w14:textId="214571FC"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03</w:t>
            </w:r>
            <w:r w:rsidRPr="008070DB">
              <w:rPr>
                <w:color w:val="000000"/>
                <w:sz w:val="18"/>
                <w:szCs w:val="18"/>
                <w:shd w:val="clear" w:color="auto" w:fill="FFFFFF"/>
                <w:lang w:val="ro-MD" w:eastAsia="ro-MD"/>
              </w:rPr>
              <w:t>.5. urmărește concentrarea tipurilor de active acceptate în garanție de banca;</w:t>
            </w:r>
          </w:p>
          <w:p w14:paraId="3DEA1907" w14:textId="72F0A63A"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03</w:t>
            </w:r>
            <w:r w:rsidRPr="008070DB">
              <w:rPr>
                <w:color w:val="000000"/>
                <w:sz w:val="18"/>
                <w:szCs w:val="18"/>
                <w:shd w:val="clear" w:color="auto" w:fill="FFFFFF"/>
                <w:lang w:val="ro-MD" w:eastAsia="ro-MD"/>
              </w:rPr>
              <w:t xml:space="preserve">.6. raportează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rganul</w:t>
            </w:r>
            <w:r w:rsidR="001C3DB0">
              <w:rPr>
                <w:color w:val="000000"/>
                <w:sz w:val="18"/>
                <w:szCs w:val="18"/>
                <w:shd w:val="clear" w:color="auto" w:fill="FFFFFF"/>
                <w:lang w:val="ro-MD" w:eastAsia="ro-MD"/>
              </w:rPr>
              <w:t>ui</w:t>
            </w:r>
            <w:r w:rsidR="001C3DB0" w:rsidRPr="008070DB">
              <w:rPr>
                <w:color w:val="000000"/>
                <w:sz w:val="18"/>
                <w:szCs w:val="18"/>
                <w:shd w:val="clear" w:color="auto" w:fill="FFFFFF"/>
                <w:lang w:val="ro-MD" w:eastAsia="ro-MD"/>
              </w:rPr>
              <w:t xml:space="preserve"> de conducere </w:t>
            </w:r>
            <w:r w:rsidRPr="008070DB">
              <w:rPr>
                <w:color w:val="000000"/>
                <w:sz w:val="18"/>
                <w:szCs w:val="18"/>
                <w:shd w:val="clear" w:color="auto" w:fill="FFFFFF"/>
                <w:lang w:val="ro-MD" w:eastAsia="ro-MD"/>
              </w:rPr>
              <w:t>informații privind gestionarea garanțiilor reale cu regularitate, cel puțin trimestrial, inclusiv informații cu privire la tipul de garanții reale primite sau furnizate și la amploarea, vechimea și cauza litigiilor privind apelurile în marjă. Această raportare internă reflectă, de asemenea, tendințele indicatorilor numerici respectivi.</w:t>
            </w:r>
          </w:p>
          <w:p w14:paraId="58CEE880" w14:textId="03CCCDA2" w:rsidR="007A7F9D" w:rsidRPr="008070DB" w:rsidRDefault="007A7F9D" w:rsidP="004C4B75">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04</w:t>
            </w:r>
            <w:r w:rsidRPr="008070DB">
              <w:rPr>
                <w:b/>
                <w:bCs/>
                <w:color w:val="000000"/>
                <w:sz w:val="18"/>
                <w:szCs w:val="18"/>
                <w:shd w:val="clear" w:color="auto" w:fill="FFFFFF"/>
                <w:lang w:val="ro-MD" w:eastAsia="ro-MD"/>
              </w:rPr>
              <w:t xml:space="preserve">. </w:t>
            </w:r>
            <w:r w:rsidR="001C3DB0" w:rsidRPr="008070DB">
              <w:rPr>
                <w:color w:val="000000"/>
                <w:sz w:val="18"/>
                <w:szCs w:val="18"/>
                <w:shd w:val="clear" w:color="auto" w:fill="FFFFFF"/>
                <w:lang w:val="ro-MD" w:eastAsia="ro-MD"/>
              </w:rPr>
              <w:t xml:space="preserve"> Organul de conducere </w:t>
            </w:r>
            <w:r w:rsidRPr="008070DB">
              <w:rPr>
                <w:color w:val="000000"/>
                <w:sz w:val="18"/>
                <w:szCs w:val="18"/>
                <w:shd w:val="clear" w:color="auto" w:fill="FFFFFF"/>
                <w:lang w:val="ro-MD" w:eastAsia="ro-MD"/>
              </w:rPr>
              <w:t xml:space="preserve">trebuie să aloce suficiente resurse unității de gestionare a garanțiilor reale, prevăzută la subpunctul 210.2., pentru a se asigura că sistemele acesteia ating un nivel adecvat de performanță operațională, măsurat prin promptitudinea și acuratețea apelurilor în marjă ale instituției și prin promptitudinea răspunsului instituției la apelurile în marjă ale contrapărților sale. </w:t>
            </w:r>
            <w:r w:rsidR="001C3DB0" w:rsidRPr="008070DB">
              <w:rPr>
                <w:color w:val="000000"/>
                <w:sz w:val="18"/>
                <w:szCs w:val="18"/>
                <w:shd w:val="clear" w:color="auto" w:fill="FFFFFF"/>
                <w:lang w:val="ro-MD" w:eastAsia="ro-MD"/>
              </w:rPr>
              <w:t xml:space="preserve"> Organul de conducere </w:t>
            </w:r>
            <w:r w:rsidRPr="008070DB">
              <w:rPr>
                <w:color w:val="000000"/>
                <w:sz w:val="18"/>
                <w:szCs w:val="18"/>
                <w:shd w:val="clear" w:color="auto" w:fill="FFFFFF"/>
                <w:lang w:val="ro-MD" w:eastAsia="ro-MD"/>
              </w:rPr>
              <w:t>trebuie să se asigure că unitatea dispune de personal adecvat pentru a procesa rapid apelurile și litigiile, chiar în condiții de criză gravă a pieței, și pentru a permite băncii să își limiteze numărul de litigii importante, cauzate de volumul de tranzacții.</w:t>
            </w:r>
          </w:p>
          <w:p w14:paraId="14BA50DE" w14:textId="72223F34" w:rsidR="007A7F9D" w:rsidRPr="008070DB" w:rsidRDefault="007A7F9D" w:rsidP="004C4B75">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efectueze cu regularitate o reexaminare independentă a sistemului său de gestionare a riscului de credit al contrapărții, prin intermediul procesului său de audit intern. Această reexaminare trebuie să includă atât activitățile unității de control al riscului, cât și pe cele ale unității de gestionare a garanțiilor reale, solicitate la </w:t>
            </w:r>
            <w:r w:rsidRPr="008070DB">
              <w:rPr>
                <w:color w:val="000000"/>
                <w:sz w:val="18"/>
                <w:szCs w:val="18"/>
                <w:highlight w:val="lightGray"/>
                <w:shd w:val="clear" w:color="auto" w:fill="FFFFFF"/>
                <w:lang w:val="ro-MD" w:eastAsia="ro-MD"/>
              </w:rPr>
              <w:t>punctele 20</w:t>
            </w:r>
            <w:r w:rsidR="00D80667">
              <w:rPr>
                <w:color w:val="000000"/>
                <w:sz w:val="18"/>
                <w:szCs w:val="18"/>
                <w:highlight w:val="lightGray"/>
                <w:shd w:val="clear" w:color="auto" w:fill="FFFFFF"/>
                <w:lang w:val="ro-MD" w:eastAsia="ro-MD"/>
              </w:rPr>
              <w:t>1</w:t>
            </w:r>
            <w:r w:rsidRPr="008070DB">
              <w:rPr>
                <w:color w:val="000000"/>
                <w:sz w:val="18"/>
                <w:szCs w:val="18"/>
                <w:highlight w:val="lightGray"/>
                <w:shd w:val="clear" w:color="auto" w:fill="FFFFFF"/>
                <w:lang w:val="ro-MD" w:eastAsia="ro-MD"/>
              </w:rPr>
              <w:t>-2</w:t>
            </w:r>
            <w:r w:rsidR="00D80667">
              <w:rPr>
                <w:color w:val="000000"/>
                <w:sz w:val="18"/>
                <w:szCs w:val="18"/>
                <w:shd w:val="clear" w:color="auto" w:fill="FFFFFF"/>
                <w:lang w:val="ro-MD" w:eastAsia="ro-MD"/>
              </w:rPr>
              <w:t>04</w:t>
            </w:r>
            <w:r w:rsidRPr="008070DB">
              <w:rPr>
                <w:color w:val="000000"/>
                <w:sz w:val="18"/>
                <w:szCs w:val="18"/>
                <w:shd w:val="clear" w:color="auto" w:fill="FFFFFF"/>
                <w:lang w:val="ro-MD" w:eastAsia="ro-MD"/>
              </w:rPr>
              <w:t>, și trebuie să vizeze, în special, cel puțin:</w:t>
            </w:r>
          </w:p>
          <w:p w14:paraId="64DE16B6" w14:textId="77777777" w:rsidR="007A7F9D" w:rsidRPr="008070DB" w:rsidRDefault="007A7F9D" w:rsidP="004C4B75">
            <w:pPr>
              <w:ind w:hanging="15"/>
              <w:jc w:val="both"/>
              <w:rPr>
                <w:b/>
                <w:bCs/>
                <w:color w:val="000000"/>
                <w:sz w:val="18"/>
                <w:szCs w:val="18"/>
                <w:shd w:val="clear" w:color="auto" w:fill="FFFFFF"/>
                <w:lang w:val="ro-MD" w:eastAsia="ro-MD"/>
              </w:rPr>
            </w:pPr>
          </w:p>
          <w:p w14:paraId="4ABD0A5F" w14:textId="3B78C69E"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lastRenderedPageBreak/>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 xml:space="preserve">.1. caracterul adecvat al formalizării sistemului și procesului de gestionare a riscului de credit al contrapărții solicitat la </w:t>
            </w:r>
            <w:r w:rsidRPr="008070DB">
              <w:rPr>
                <w:color w:val="000000"/>
                <w:sz w:val="18"/>
                <w:szCs w:val="18"/>
                <w:highlight w:val="lightGray"/>
                <w:shd w:val="clear" w:color="auto" w:fill="FFFFFF"/>
                <w:lang w:val="ro-MD" w:eastAsia="ro-MD"/>
              </w:rPr>
              <w:t xml:space="preserve">punctele </w:t>
            </w:r>
            <w:r w:rsidR="00D80667">
              <w:rPr>
                <w:color w:val="000000"/>
                <w:sz w:val="18"/>
                <w:szCs w:val="18"/>
                <w:shd w:val="clear" w:color="auto" w:fill="FFFFFF"/>
                <w:lang w:val="ro-MD" w:eastAsia="ro-MD"/>
              </w:rPr>
              <w:t>191-200</w:t>
            </w:r>
            <w:r w:rsidRPr="008070DB">
              <w:rPr>
                <w:color w:val="000000"/>
                <w:sz w:val="18"/>
                <w:szCs w:val="18"/>
                <w:shd w:val="clear" w:color="auto" w:fill="FFFFFF"/>
                <w:lang w:val="ro-MD" w:eastAsia="ro-MD"/>
              </w:rPr>
              <w:t>;</w:t>
            </w:r>
          </w:p>
          <w:p w14:paraId="5143C16B" w14:textId="7AC806EC"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 xml:space="preserve">.2. organizarea unității de control al riscului de credit al contrapărții solicitată </w:t>
            </w:r>
            <w:r w:rsidRPr="008070DB">
              <w:rPr>
                <w:color w:val="000000"/>
                <w:sz w:val="18"/>
                <w:szCs w:val="18"/>
                <w:highlight w:val="lightGray"/>
                <w:shd w:val="clear" w:color="auto" w:fill="FFFFFF"/>
                <w:lang w:val="ro-MD" w:eastAsia="ro-MD"/>
              </w:rPr>
              <w:t>la subpunctul 20</w:t>
            </w:r>
            <w:r w:rsidR="00D80667">
              <w:rPr>
                <w:color w:val="000000"/>
                <w:sz w:val="18"/>
                <w:szCs w:val="18"/>
                <w:highlight w:val="lightGray"/>
                <w:shd w:val="clear" w:color="auto" w:fill="FFFFFF"/>
                <w:lang w:val="ro-MD" w:eastAsia="ro-MD"/>
              </w:rPr>
              <w:t>1</w:t>
            </w:r>
            <w:r w:rsidRPr="008070DB">
              <w:rPr>
                <w:color w:val="000000"/>
                <w:sz w:val="18"/>
                <w:szCs w:val="18"/>
                <w:highlight w:val="lightGray"/>
                <w:shd w:val="clear" w:color="auto" w:fill="FFFFFF"/>
                <w:lang w:val="ro-MD" w:eastAsia="ro-MD"/>
              </w:rPr>
              <w:t>.1.;</w:t>
            </w:r>
          </w:p>
          <w:p w14:paraId="2F5FF6B8" w14:textId="35C0B6BC"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 xml:space="preserve">.3. organizarea unității de gestionare a garanțiilor reale solicitată </w:t>
            </w:r>
            <w:r w:rsidRPr="008070DB">
              <w:rPr>
                <w:color w:val="000000"/>
                <w:sz w:val="18"/>
                <w:szCs w:val="18"/>
                <w:highlight w:val="lightGray"/>
                <w:shd w:val="clear" w:color="auto" w:fill="FFFFFF"/>
                <w:lang w:val="ro-MD" w:eastAsia="ro-MD"/>
              </w:rPr>
              <w:t>la subpunctul 20</w:t>
            </w:r>
            <w:r w:rsidR="00D80667">
              <w:rPr>
                <w:color w:val="000000"/>
                <w:sz w:val="18"/>
                <w:szCs w:val="18"/>
                <w:highlight w:val="lightGray"/>
                <w:shd w:val="clear" w:color="auto" w:fill="FFFFFF"/>
                <w:lang w:val="ro-MD" w:eastAsia="ro-MD"/>
              </w:rPr>
              <w:t>1</w:t>
            </w:r>
            <w:r w:rsidRPr="008070DB">
              <w:rPr>
                <w:color w:val="000000"/>
                <w:sz w:val="18"/>
                <w:szCs w:val="18"/>
                <w:highlight w:val="lightGray"/>
                <w:shd w:val="clear" w:color="auto" w:fill="FFFFFF"/>
                <w:lang w:val="ro-MD" w:eastAsia="ro-MD"/>
              </w:rPr>
              <w:t>.2.;</w:t>
            </w:r>
          </w:p>
          <w:p w14:paraId="0F88CA50" w14:textId="48181B88"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.4. integrarea măsurărilor riscului de credit al contrapărții în gestionarea zilnică a riscurilor;</w:t>
            </w:r>
          </w:p>
          <w:p w14:paraId="0DC60DE5" w14:textId="2EF9CFAA"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.5. procesul de aprobare a modelelor de evaluare a riscului (</w:t>
            </w:r>
            <w:r w:rsidRPr="008070DB">
              <w:rPr>
                <w:i/>
                <w:iCs/>
                <w:color w:val="000000"/>
                <w:sz w:val="18"/>
                <w:szCs w:val="18"/>
                <w:shd w:val="clear" w:color="auto" w:fill="FFFFFF"/>
                <w:lang w:val="ro-MD" w:eastAsia="ro-MD"/>
              </w:rPr>
              <w:t>risk pricing models</w:t>
            </w:r>
            <w:r w:rsidRPr="008070DB">
              <w:rPr>
                <w:color w:val="000000"/>
                <w:sz w:val="18"/>
                <w:szCs w:val="18"/>
                <w:shd w:val="clear" w:color="auto" w:fill="FFFFFF"/>
                <w:lang w:val="ro-MD" w:eastAsia="ro-MD"/>
              </w:rPr>
              <w:t>) și a sistemelor de evaluare utilizate de personalul din unitățile responsabile cu inițierea tranzacțiilor (</w:t>
            </w:r>
            <w:r w:rsidRPr="008070DB">
              <w:rPr>
                <w:i/>
                <w:iCs/>
                <w:color w:val="000000"/>
                <w:sz w:val="18"/>
                <w:szCs w:val="18"/>
                <w:shd w:val="clear" w:color="auto" w:fill="FFFFFF"/>
                <w:lang w:val="ro-MD" w:eastAsia="ro-MD"/>
              </w:rPr>
              <w:t>front-office</w:t>
            </w:r>
            <w:r w:rsidRPr="008070DB">
              <w:rPr>
                <w:color w:val="000000"/>
                <w:sz w:val="18"/>
                <w:szCs w:val="18"/>
                <w:shd w:val="clear" w:color="auto" w:fill="FFFFFF"/>
                <w:lang w:val="ro-MD" w:eastAsia="ro-MD"/>
              </w:rPr>
              <w:t>) și din unitățile responsabile cu înregistrarea și monitorizarea tranzacțiilor inițiate (</w:t>
            </w:r>
            <w:r w:rsidRPr="008070DB">
              <w:rPr>
                <w:i/>
                <w:iCs/>
                <w:color w:val="000000"/>
                <w:sz w:val="18"/>
                <w:szCs w:val="18"/>
                <w:shd w:val="clear" w:color="auto" w:fill="FFFFFF"/>
                <w:lang w:val="ro-MD" w:eastAsia="ro-MD"/>
              </w:rPr>
              <w:t>back-office</w:t>
            </w:r>
            <w:r w:rsidRPr="008070DB">
              <w:rPr>
                <w:color w:val="000000"/>
                <w:sz w:val="18"/>
                <w:szCs w:val="18"/>
                <w:shd w:val="clear" w:color="auto" w:fill="FFFFFF"/>
                <w:lang w:val="ro-MD" w:eastAsia="ro-MD"/>
              </w:rPr>
              <w:t>);</w:t>
            </w:r>
          </w:p>
          <w:p w14:paraId="020FD1D4" w14:textId="0B8D8793"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.6. validarea oricărei modificări semnificative a procesului de măsurare a riscului de credit al contrapărții;</w:t>
            </w:r>
          </w:p>
          <w:p w14:paraId="33F15801" w14:textId="41F33392"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.7. sfera de cuprindere a riscului de credit al contrapărții, reflectată de modelul de măsurare a riscului;</w:t>
            </w:r>
          </w:p>
          <w:p w14:paraId="4CC9FBBA" w14:textId="172CB060"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.8. integritatea sistemului de informare al conducerii;</w:t>
            </w:r>
          </w:p>
          <w:p w14:paraId="7BCAE57C" w14:textId="0DA0589C"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.9. acuratețea și exhaustivitatea datelor privind riscul de credit al contrapărții;</w:t>
            </w:r>
          </w:p>
          <w:p w14:paraId="31D2BADC" w14:textId="1D9B7ADD"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.10. reflectarea exactă a condițiilor juridice ale acordurilor de garanție reală și ale acordurilor de compensare în măsurările valorii expunerii;</w:t>
            </w:r>
          </w:p>
          <w:p w14:paraId="7C576AA7" w14:textId="363BB9CA"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.11. verificarea coerenței, caracterului actual i și credibilității surselor de date utilizate în derularea modelelor, inclusiv a independenței acestor surse de date;</w:t>
            </w:r>
          </w:p>
          <w:p w14:paraId="40A3759D" w14:textId="668BC615"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.12. acuratețea și caracterul adecvat al ipotezelor privind volatilitatea și corelarea;</w:t>
            </w:r>
          </w:p>
          <w:p w14:paraId="59E3E612" w14:textId="6D398C54"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.13. acuratețea calculelor privind evaluarea și transformarea riscului;</w:t>
            </w:r>
          </w:p>
          <w:p w14:paraId="16FE18CF" w14:textId="5742444A"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.14. verificarea acurateței modelului prin teste ex-post (</w:t>
            </w:r>
            <w:r w:rsidRPr="008070DB">
              <w:rPr>
                <w:i/>
                <w:iCs/>
                <w:color w:val="000000"/>
                <w:sz w:val="18"/>
                <w:szCs w:val="18"/>
                <w:shd w:val="clear" w:color="auto" w:fill="FFFFFF"/>
                <w:lang w:val="ro-MD" w:eastAsia="ro-MD"/>
              </w:rPr>
              <w:t>back-testing</w:t>
            </w:r>
            <w:r w:rsidRPr="008070DB">
              <w:rPr>
                <w:color w:val="000000"/>
                <w:sz w:val="18"/>
                <w:szCs w:val="18"/>
                <w:shd w:val="clear" w:color="auto" w:fill="FFFFFF"/>
                <w:lang w:val="ro-MD" w:eastAsia="ro-MD"/>
              </w:rPr>
              <w:t xml:space="preserve">) frecvente, prevăzute la </w:t>
            </w:r>
            <w:r w:rsidRPr="008070DB">
              <w:rPr>
                <w:color w:val="000000"/>
                <w:sz w:val="18"/>
                <w:szCs w:val="18"/>
                <w:highlight w:val="lightGray"/>
                <w:shd w:val="clear" w:color="auto" w:fill="FFFFFF"/>
                <w:lang w:val="ro-MD" w:eastAsia="ro-MD"/>
              </w:rPr>
              <w:t>subpunctele 2</w:t>
            </w:r>
            <w:r w:rsidR="00D80667">
              <w:rPr>
                <w:color w:val="000000"/>
                <w:sz w:val="18"/>
                <w:szCs w:val="18"/>
                <w:highlight w:val="lightGray"/>
                <w:shd w:val="clear" w:color="auto" w:fill="FFFFFF"/>
                <w:lang w:val="ro-MD" w:eastAsia="ro-MD"/>
              </w:rPr>
              <w:t>38</w:t>
            </w:r>
            <w:r w:rsidRPr="008070DB">
              <w:rPr>
                <w:color w:val="000000"/>
                <w:sz w:val="18"/>
                <w:szCs w:val="18"/>
                <w:highlight w:val="lightGray"/>
                <w:shd w:val="clear" w:color="auto" w:fill="FFFFFF"/>
                <w:lang w:val="ro-MD" w:eastAsia="ro-MD"/>
              </w:rPr>
              <w:t>.</w:t>
            </w:r>
            <w:r w:rsidR="00D80667">
              <w:rPr>
                <w:color w:val="000000"/>
                <w:sz w:val="18"/>
                <w:szCs w:val="18"/>
                <w:highlight w:val="lightGray"/>
                <w:shd w:val="clear" w:color="auto" w:fill="FFFFFF"/>
                <w:lang w:val="ro-MD" w:eastAsia="ro-MD"/>
              </w:rPr>
              <w:t>1</w:t>
            </w:r>
            <w:r w:rsidRPr="008070DB">
              <w:rPr>
                <w:color w:val="000000"/>
                <w:sz w:val="18"/>
                <w:szCs w:val="18"/>
                <w:highlight w:val="lightGray"/>
                <w:shd w:val="clear" w:color="auto" w:fill="FFFFFF"/>
                <w:lang w:val="ro-MD" w:eastAsia="ro-MD"/>
              </w:rPr>
              <w:t>. – 2</w:t>
            </w:r>
            <w:r w:rsidR="00D80667">
              <w:rPr>
                <w:color w:val="000000"/>
                <w:sz w:val="18"/>
                <w:szCs w:val="18"/>
                <w:highlight w:val="lightGray"/>
                <w:shd w:val="clear" w:color="auto" w:fill="FFFFFF"/>
                <w:lang w:val="ro-MD" w:eastAsia="ro-MD"/>
              </w:rPr>
              <w:t>38</w:t>
            </w:r>
            <w:r w:rsidRPr="008070DB">
              <w:rPr>
                <w:color w:val="000000"/>
                <w:sz w:val="18"/>
                <w:szCs w:val="18"/>
                <w:highlight w:val="lightGray"/>
                <w:shd w:val="clear" w:color="auto" w:fill="FFFFFF"/>
                <w:lang w:val="ro-MD" w:eastAsia="ro-MD"/>
              </w:rPr>
              <w:t>.</w:t>
            </w:r>
            <w:r w:rsidR="00D80667">
              <w:rPr>
                <w:color w:val="000000"/>
                <w:sz w:val="18"/>
                <w:szCs w:val="18"/>
                <w:highlight w:val="lightGray"/>
                <w:shd w:val="clear" w:color="auto" w:fill="FFFFFF"/>
                <w:lang w:val="ro-MD" w:eastAsia="ro-MD"/>
              </w:rPr>
              <w:t>2</w:t>
            </w:r>
            <w:r w:rsidRPr="008070DB">
              <w:rPr>
                <w:color w:val="000000"/>
                <w:sz w:val="18"/>
                <w:szCs w:val="18"/>
                <w:highlight w:val="lightGray"/>
                <w:shd w:val="clear" w:color="auto" w:fill="FFFFFF"/>
                <w:lang w:val="ro-MD" w:eastAsia="ro-MD"/>
              </w:rPr>
              <w:t>.;</w:t>
            </w:r>
          </w:p>
          <w:p w14:paraId="2D0A6FA1" w14:textId="50128C2D" w:rsidR="007A7F9D" w:rsidRPr="008070DB" w:rsidRDefault="007A7F9D" w:rsidP="004C4B75">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D80667">
              <w:rPr>
                <w:color w:val="000000"/>
                <w:sz w:val="18"/>
                <w:szCs w:val="18"/>
                <w:shd w:val="clear" w:color="auto" w:fill="FFFFFF"/>
                <w:lang w:val="ro-MD" w:eastAsia="ro-MD"/>
              </w:rPr>
              <w:t>05</w:t>
            </w:r>
            <w:r w:rsidRPr="008070DB">
              <w:rPr>
                <w:color w:val="000000"/>
                <w:sz w:val="18"/>
                <w:szCs w:val="18"/>
                <w:shd w:val="clear" w:color="auto" w:fill="FFFFFF"/>
                <w:lang w:val="ro-MD" w:eastAsia="ro-MD"/>
              </w:rPr>
              <w:t>.15. respectarea de către unitatea de control al riscului de credit al contrapărții și de către unitatea de gestionare a garanțiilor reale a cerințelor reglementare relevante.</w:t>
            </w:r>
          </w:p>
          <w:p w14:paraId="70465E42"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546F402"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30E2961"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72DEFE0E"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7E8CD22A"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50EBD575"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88813BB"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59B1CB04"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572772B"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69F593FC"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003CF05"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6732BF7C"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2451E362"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5AC220FF"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744B0E8"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42CAC552"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4D21618A"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5CBB8A5"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44890AB2"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46A5C231"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8F22F4E"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733276A6"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12ACA60"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30F396D"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21AC918A"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7265FAA2"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F7C9A38"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5380A2C0"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E0D952B" w14:textId="77777777"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6A6E9DEC" w14:textId="3A203BE8" w:rsidR="007A7F9D" w:rsidRPr="008070DB" w:rsidRDefault="007A7F9D" w:rsidP="004C4B75">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vMerge w:val="restart"/>
          </w:tcPr>
          <w:p w14:paraId="47956CE6" w14:textId="77777777" w:rsidR="007A7F9D" w:rsidRDefault="007A7F9D" w:rsidP="00236954">
            <w:pPr>
              <w:jc w:val="both"/>
              <w:rPr>
                <w:sz w:val="18"/>
                <w:szCs w:val="18"/>
                <w:lang w:val="ro-MD"/>
              </w:rPr>
            </w:pPr>
            <w:r>
              <w:rPr>
                <w:sz w:val="18"/>
                <w:szCs w:val="18"/>
                <w:lang w:val="ro-MD"/>
              </w:rPr>
              <w:lastRenderedPageBreak/>
              <w:t xml:space="preserve">Compatibil </w:t>
            </w:r>
          </w:p>
          <w:p w14:paraId="1C237910" w14:textId="77777777" w:rsidR="007A7F9D" w:rsidRDefault="007A7F9D" w:rsidP="00236954">
            <w:pPr>
              <w:jc w:val="both"/>
              <w:rPr>
                <w:sz w:val="18"/>
                <w:szCs w:val="18"/>
                <w:lang w:val="ro-MD"/>
              </w:rPr>
            </w:pPr>
          </w:p>
          <w:p w14:paraId="3D2E1668" w14:textId="77777777" w:rsidR="007A7F9D" w:rsidRDefault="007A7F9D" w:rsidP="00236954">
            <w:pPr>
              <w:jc w:val="both"/>
              <w:rPr>
                <w:sz w:val="18"/>
                <w:szCs w:val="18"/>
                <w:lang w:val="ro-MD"/>
              </w:rPr>
            </w:pPr>
          </w:p>
          <w:p w14:paraId="27A50FD2" w14:textId="77777777" w:rsidR="007A7F9D" w:rsidRDefault="007A7F9D" w:rsidP="00236954">
            <w:pPr>
              <w:jc w:val="both"/>
              <w:rPr>
                <w:sz w:val="18"/>
                <w:szCs w:val="18"/>
                <w:lang w:val="ro-MD"/>
              </w:rPr>
            </w:pPr>
          </w:p>
          <w:p w14:paraId="3B25FE9E" w14:textId="77777777" w:rsidR="007A7F9D" w:rsidRDefault="007A7F9D" w:rsidP="00236954">
            <w:pPr>
              <w:jc w:val="both"/>
              <w:rPr>
                <w:sz w:val="18"/>
                <w:szCs w:val="18"/>
                <w:lang w:val="ro-MD"/>
              </w:rPr>
            </w:pPr>
          </w:p>
          <w:p w14:paraId="643DD4A2" w14:textId="77777777" w:rsidR="007A7F9D" w:rsidRDefault="007A7F9D" w:rsidP="00236954">
            <w:pPr>
              <w:jc w:val="both"/>
              <w:rPr>
                <w:sz w:val="18"/>
                <w:szCs w:val="18"/>
                <w:lang w:val="ro-MD"/>
              </w:rPr>
            </w:pPr>
          </w:p>
          <w:p w14:paraId="031F8D32" w14:textId="77777777" w:rsidR="007A7F9D" w:rsidRDefault="007A7F9D" w:rsidP="00236954">
            <w:pPr>
              <w:jc w:val="both"/>
              <w:rPr>
                <w:sz w:val="18"/>
                <w:szCs w:val="18"/>
                <w:lang w:val="ro-MD"/>
              </w:rPr>
            </w:pPr>
          </w:p>
          <w:p w14:paraId="650CCB51" w14:textId="77777777" w:rsidR="007A7F9D" w:rsidRDefault="007A7F9D" w:rsidP="00236954">
            <w:pPr>
              <w:jc w:val="both"/>
              <w:rPr>
                <w:sz w:val="18"/>
                <w:szCs w:val="18"/>
                <w:lang w:val="ro-MD"/>
              </w:rPr>
            </w:pPr>
          </w:p>
          <w:p w14:paraId="68DC74C4" w14:textId="77777777" w:rsidR="007A7F9D" w:rsidRDefault="007A7F9D" w:rsidP="00236954">
            <w:pPr>
              <w:jc w:val="both"/>
              <w:rPr>
                <w:sz w:val="18"/>
                <w:szCs w:val="18"/>
                <w:lang w:val="ro-MD"/>
              </w:rPr>
            </w:pPr>
          </w:p>
          <w:p w14:paraId="64B81113" w14:textId="77777777" w:rsidR="007A7F9D" w:rsidRDefault="007A7F9D" w:rsidP="00236954">
            <w:pPr>
              <w:jc w:val="both"/>
              <w:rPr>
                <w:sz w:val="18"/>
                <w:szCs w:val="18"/>
                <w:lang w:val="ro-MD"/>
              </w:rPr>
            </w:pPr>
          </w:p>
          <w:p w14:paraId="6F01AF2C" w14:textId="77777777" w:rsidR="007A7F9D" w:rsidRDefault="007A7F9D" w:rsidP="00236954">
            <w:pPr>
              <w:jc w:val="both"/>
              <w:rPr>
                <w:sz w:val="18"/>
                <w:szCs w:val="18"/>
                <w:lang w:val="ro-MD"/>
              </w:rPr>
            </w:pPr>
          </w:p>
          <w:p w14:paraId="4F30FA3D" w14:textId="77777777" w:rsidR="007A7F9D" w:rsidRDefault="007A7F9D" w:rsidP="00236954">
            <w:pPr>
              <w:jc w:val="both"/>
              <w:rPr>
                <w:sz w:val="18"/>
                <w:szCs w:val="18"/>
                <w:lang w:val="ro-MD"/>
              </w:rPr>
            </w:pPr>
          </w:p>
          <w:p w14:paraId="12A1B7B8" w14:textId="77777777" w:rsidR="007A7F9D" w:rsidRDefault="007A7F9D" w:rsidP="00236954">
            <w:pPr>
              <w:jc w:val="both"/>
              <w:rPr>
                <w:sz w:val="18"/>
                <w:szCs w:val="18"/>
                <w:lang w:val="ro-MD"/>
              </w:rPr>
            </w:pPr>
          </w:p>
          <w:p w14:paraId="7F916B36" w14:textId="77777777" w:rsidR="007A7F9D" w:rsidRDefault="007A7F9D" w:rsidP="00236954">
            <w:pPr>
              <w:jc w:val="both"/>
              <w:rPr>
                <w:sz w:val="18"/>
                <w:szCs w:val="18"/>
                <w:lang w:val="ro-MD"/>
              </w:rPr>
            </w:pPr>
          </w:p>
          <w:p w14:paraId="6AEAA4CC" w14:textId="77777777" w:rsidR="007A7F9D" w:rsidRDefault="007A7F9D" w:rsidP="00236954">
            <w:pPr>
              <w:jc w:val="both"/>
              <w:rPr>
                <w:sz w:val="18"/>
                <w:szCs w:val="18"/>
                <w:lang w:val="ro-MD"/>
              </w:rPr>
            </w:pPr>
          </w:p>
          <w:p w14:paraId="7A9440A2" w14:textId="77777777" w:rsidR="007A7F9D" w:rsidRDefault="007A7F9D" w:rsidP="00236954">
            <w:pPr>
              <w:jc w:val="both"/>
              <w:rPr>
                <w:sz w:val="18"/>
                <w:szCs w:val="18"/>
                <w:lang w:val="ro-MD"/>
              </w:rPr>
            </w:pPr>
          </w:p>
          <w:p w14:paraId="6EB93936" w14:textId="77777777" w:rsidR="007A7F9D" w:rsidRDefault="007A7F9D" w:rsidP="00236954">
            <w:pPr>
              <w:jc w:val="both"/>
              <w:rPr>
                <w:sz w:val="18"/>
                <w:szCs w:val="18"/>
                <w:lang w:val="ro-MD"/>
              </w:rPr>
            </w:pPr>
          </w:p>
          <w:p w14:paraId="46E81B73" w14:textId="77777777" w:rsidR="007A7F9D" w:rsidRDefault="007A7F9D" w:rsidP="00236954">
            <w:pPr>
              <w:jc w:val="both"/>
              <w:rPr>
                <w:sz w:val="18"/>
                <w:szCs w:val="18"/>
                <w:lang w:val="ro-MD"/>
              </w:rPr>
            </w:pPr>
          </w:p>
          <w:p w14:paraId="19CC6E07" w14:textId="77777777" w:rsidR="007A7F9D" w:rsidRDefault="007A7F9D" w:rsidP="00236954">
            <w:pPr>
              <w:jc w:val="both"/>
              <w:rPr>
                <w:sz w:val="18"/>
                <w:szCs w:val="18"/>
                <w:lang w:val="ro-MD"/>
              </w:rPr>
            </w:pPr>
          </w:p>
          <w:p w14:paraId="3EDC5A98" w14:textId="77777777" w:rsidR="007A7F9D" w:rsidRDefault="007A7F9D" w:rsidP="00236954">
            <w:pPr>
              <w:jc w:val="both"/>
              <w:rPr>
                <w:sz w:val="18"/>
                <w:szCs w:val="18"/>
                <w:lang w:val="ro-MD"/>
              </w:rPr>
            </w:pPr>
          </w:p>
          <w:p w14:paraId="70A8D4A0" w14:textId="77777777" w:rsidR="007A7F9D" w:rsidRDefault="007A7F9D" w:rsidP="00236954">
            <w:pPr>
              <w:jc w:val="both"/>
              <w:rPr>
                <w:sz w:val="18"/>
                <w:szCs w:val="18"/>
                <w:lang w:val="ro-MD"/>
              </w:rPr>
            </w:pPr>
          </w:p>
          <w:p w14:paraId="3A38085E" w14:textId="77777777" w:rsidR="007A7F9D" w:rsidRDefault="007A7F9D" w:rsidP="00236954">
            <w:pPr>
              <w:jc w:val="both"/>
              <w:rPr>
                <w:sz w:val="18"/>
                <w:szCs w:val="18"/>
                <w:lang w:val="ro-MD"/>
              </w:rPr>
            </w:pPr>
          </w:p>
          <w:p w14:paraId="003EEC5F" w14:textId="77777777" w:rsidR="007A7F9D" w:rsidRDefault="007A7F9D" w:rsidP="00236954">
            <w:pPr>
              <w:jc w:val="both"/>
              <w:rPr>
                <w:sz w:val="18"/>
                <w:szCs w:val="18"/>
                <w:lang w:val="ro-MD"/>
              </w:rPr>
            </w:pPr>
          </w:p>
          <w:p w14:paraId="2A3BDB90" w14:textId="77777777" w:rsidR="007A7F9D" w:rsidRDefault="007A7F9D" w:rsidP="00236954">
            <w:pPr>
              <w:jc w:val="both"/>
              <w:rPr>
                <w:sz w:val="18"/>
                <w:szCs w:val="18"/>
                <w:lang w:val="ro-MD"/>
              </w:rPr>
            </w:pPr>
          </w:p>
          <w:p w14:paraId="502EE708" w14:textId="77777777" w:rsidR="007A7F9D" w:rsidRDefault="007A7F9D" w:rsidP="00236954">
            <w:pPr>
              <w:jc w:val="both"/>
              <w:rPr>
                <w:sz w:val="18"/>
                <w:szCs w:val="18"/>
                <w:lang w:val="ro-MD"/>
              </w:rPr>
            </w:pPr>
          </w:p>
          <w:p w14:paraId="73224F4A" w14:textId="77777777" w:rsidR="007A7F9D" w:rsidRDefault="007A7F9D" w:rsidP="00236954">
            <w:pPr>
              <w:jc w:val="both"/>
              <w:rPr>
                <w:sz w:val="18"/>
                <w:szCs w:val="18"/>
                <w:lang w:val="ro-MD"/>
              </w:rPr>
            </w:pPr>
          </w:p>
          <w:p w14:paraId="2F9D7543" w14:textId="77777777" w:rsidR="007A7F9D" w:rsidRDefault="007A7F9D" w:rsidP="00236954">
            <w:pPr>
              <w:jc w:val="both"/>
              <w:rPr>
                <w:sz w:val="18"/>
                <w:szCs w:val="18"/>
                <w:lang w:val="ro-MD"/>
              </w:rPr>
            </w:pPr>
          </w:p>
          <w:p w14:paraId="44D40C2B" w14:textId="77777777" w:rsidR="007A7F9D" w:rsidRDefault="007A7F9D" w:rsidP="00236954">
            <w:pPr>
              <w:jc w:val="both"/>
              <w:rPr>
                <w:sz w:val="18"/>
                <w:szCs w:val="18"/>
                <w:lang w:val="ro-MD"/>
              </w:rPr>
            </w:pPr>
          </w:p>
          <w:p w14:paraId="59658DFF" w14:textId="77777777" w:rsidR="007A7F9D" w:rsidRDefault="007A7F9D" w:rsidP="00236954">
            <w:pPr>
              <w:jc w:val="both"/>
              <w:rPr>
                <w:sz w:val="18"/>
                <w:szCs w:val="18"/>
                <w:lang w:val="ro-MD"/>
              </w:rPr>
            </w:pPr>
          </w:p>
          <w:p w14:paraId="6E0BBD0D" w14:textId="77777777" w:rsidR="007A7F9D" w:rsidRDefault="007A7F9D" w:rsidP="00236954">
            <w:pPr>
              <w:jc w:val="both"/>
              <w:rPr>
                <w:sz w:val="18"/>
                <w:szCs w:val="18"/>
                <w:lang w:val="ro-MD"/>
              </w:rPr>
            </w:pPr>
          </w:p>
          <w:p w14:paraId="38B5AE06" w14:textId="77777777" w:rsidR="007A7F9D" w:rsidRDefault="007A7F9D" w:rsidP="00236954">
            <w:pPr>
              <w:jc w:val="both"/>
              <w:rPr>
                <w:sz w:val="18"/>
                <w:szCs w:val="18"/>
                <w:lang w:val="ro-MD"/>
              </w:rPr>
            </w:pPr>
          </w:p>
          <w:p w14:paraId="75207E8B" w14:textId="77777777" w:rsidR="007A7F9D" w:rsidRDefault="007A7F9D" w:rsidP="00236954">
            <w:pPr>
              <w:jc w:val="both"/>
              <w:rPr>
                <w:sz w:val="18"/>
                <w:szCs w:val="18"/>
                <w:lang w:val="ro-MD"/>
              </w:rPr>
            </w:pPr>
          </w:p>
          <w:p w14:paraId="70F6FC42" w14:textId="77777777" w:rsidR="007A7F9D" w:rsidRDefault="007A7F9D" w:rsidP="00236954">
            <w:pPr>
              <w:jc w:val="both"/>
              <w:rPr>
                <w:sz w:val="18"/>
                <w:szCs w:val="18"/>
                <w:lang w:val="ro-MD"/>
              </w:rPr>
            </w:pPr>
          </w:p>
          <w:p w14:paraId="63F58052" w14:textId="77777777" w:rsidR="007A7F9D" w:rsidRDefault="007A7F9D" w:rsidP="00236954">
            <w:pPr>
              <w:jc w:val="both"/>
              <w:rPr>
                <w:sz w:val="18"/>
                <w:szCs w:val="18"/>
                <w:lang w:val="ro-MD"/>
              </w:rPr>
            </w:pPr>
          </w:p>
          <w:p w14:paraId="6D7D1DD5" w14:textId="77777777" w:rsidR="007A7F9D" w:rsidRDefault="007A7F9D" w:rsidP="00236954">
            <w:pPr>
              <w:jc w:val="both"/>
              <w:rPr>
                <w:sz w:val="18"/>
                <w:szCs w:val="18"/>
                <w:lang w:val="ro-MD"/>
              </w:rPr>
            </w:pPr>
          </w:p>
          <w:p w14:paraId="1DFE29AD" w14:textId="77777777" w:rsidR="007A7F9D" w:rsidRDefault="007A7F9D" w:rsidP="00236954">
            <w:pPr>
              <w:jc w:val="both"/>
              <w:rPr>
                <w:sz w:val="18"/>
                <w:szCs w:val="18"/>
                <w:lang w:val="ro-MD"/>
              </w:rPr>
            </w:pPr>
          </w:p>
          <w:p w14:paraId="7B081A95" w14:textId="77777777" w:rsidR="007A7F9D" w:rsidRDefault="007A7F9D" w:rsidP="00236954">
            <w:pPr>
              <w:jc w:val="both"/>
              <w:rPr>
                <w:sz w:val="18"/>
                <w:szCs w:val="18"/>
                <w:lang w:val="ro-MD"/>
              </w:rPr>
            </w:pPr>
          </w:p>
          <w:p w14:paraId="2CB3E222" w14:textId="77777777" w:rsidR="007A7F9D" w:rsidRDefault="007A7F9D" w:rsidP="00236954">
            <w:pPr>
              <w:jc w:val="both"/>
              <w:rPr>
                <w:sz w:val="18"/>
                <w:szCs w:val="18"/>
                <w:lang w:val="ro-MD"/>
              </w:rPr>
            </w:pPr>
          </w:p>
          <w:p w14:paraId="1BB61DDA" w14:textId="77777777" w:rsidR="007A7F9D" w:rsidRDefault="007A7F9D" w:rsidP="00236954">
            <w:pPr>
              <w:jc w:val="both"/>
              <w:rPr>
                <w:sz w:val="18"/>
                <w:szCs w:val="18"/>
                <w:lang w:val="ro-MD"/>
              </w:rPr>
            </w:pPr>
          </w:p>
          <w:p w14:paraId="12B1886B" w14:textId="77777777" w:rsidR="007A7F9D" w:rsidRDefault="007A7F9D" w:rsidP="00236954">
            <w:pPr>
              <w:jc w:val="both"/>
              <w:rPr>
                <w:sz w:val="18"/>
                <w:szCs w:val="18"/>
                <w:lang w:val="ro-MD"/>
              </w:rPr>
            </w:pPr>
          </w:p>
          <w:p w14:paraId="6F28ACF9" w14:textId="77777777" w:rsidR="007A7F9D" w:rsidRDefault="007A7F9D" w:rsidP="00236954">
            <w:pPr>
              <w:jc w:val="both"/>
              <w:rPr>
                <w:sz w:val="18"/>
                <w:szCs w:val="18"/>
                <w:lang w:val="ro-MD"/>
              </w:rPr>
            </w:pPr>
          </w:p>
          <w:p w14:paraId="122A8FE8" w14:textId="77777777" w:rsidR="007A7F9D" w:rsidRDefault="007A7F9D" w:rsidP="00236954">
            <w:pPr>
              <w:jc w:val="both"/>
              <w:rPr>
                <w:sz w:val="18"/>
                <w:szCs w:val="18"/>
                <w:lang w:val="ro-MD"/>
              </w:rPr>
            </w:pPr>
          </w:p>
          <w:p w14:paraId="67CFFD7B" w14:textId="77777777" w:rsidR="007A7F9D" w:rsidRDefault="007A7F9D" w:rsidP="00236954">
            <w:pPr>
              <w:jc w:val="both"/>
              <w:rPr>
                <w:sz w:val="18"/>
                <w:szCs w:val="18"/>
                <w:lang w:val="ro-MD"/>
              </w:rPr>
            </w:pPr>
          </w:p>
          <w:p w14:paraId="71D0DEF9" w14:textId="77777777" w:rsidR="007A7F9D" w:rsidRDefault="007A7F9D" w:rsidP="00236954">
            <w:pPr>
              <w:jc w:val="both"/>
              <w:rPr>
                <w:sz w:val="18"/>
                <w:szCs w:val="18"/>
                <w:lang w:val="ro-MD"/>
              </w:rPr>
            </w:pPr>
          </w:p>
          <w:p w14:paraId="2437C57D" w14:textId="77777777" w:rsidR="007A7F9D" w:rsidRDefault="007A7F9D" w:rsidP="00236954">
            <w:pPr>
              <w:jc w:val="both"/>
              <w:rPr>
                <w:sz w:val="18"/>
                <w:szCs w:val="18"/>
                <w:lang w:val="ro-MD"/>
              </w:rPr>
            </w:pPr>
          </w:p>
          <w:p w14:paraId="3BDFC2D2" w14:textId="77777777" w:rsidR="007A7F9D" w:rsidRDefault="007A7F9D" w:rsidP="00236954">
            <w:pPr>
              <w:jc w:val="both"/>
              <w:rPr>
                <w:sz w:val="18"/>
                <w:szCs w:val="18"/>
                <w:lang w:val="ro-MD"/>
              </w:rPr>
            </w:pPr>
          </w:p>
          <w:p w14:paraId="00832833" w14:textId="77777777" w:rsidR="007A7F9D" w:rsidRDefault="007A7F9D" w:rsidP="00236954">
            <w:pPr>
              <w:jc w:val="both"/>
              <w:rPr>
                <w:sz w:val="18"/>
                <w:szCs w:val="18"/>
                <w:lang w:val="ro-MD"/>
              </w:rPr>
            </w:pPr>
          </w:p>
          <w:p w14:paraId="0A7652DE" w14:textId="77777777" w:rsidR="007A7F9D" w:rsidRDefault="007A7F9D" w:rsidP="00236954">
            <w:pPr>
              <w:jc w:val="both"/>
              <w:rPr>
                <w:sz w:val="18"/>
                <w:szCs w:val="18"/>
                <w:lang w:val="ro-MD"/>
              </w:rPr>
            </w:pPr>
          </w:p>
          <w:p w14:paraId="0CF6B7F2" w14:textId="77777777" w:rsidR="007A7F9D" w:rsidRDefault="007A7F9D" w:rsidP="00236954">
            <w:pPr>
              <w:jc w:val="both"/>
              <w:rPr>
                <w:sz w:val="18"/>
                <w:szCs w:val="18"/>
                <w:lang w:val="ro-MD"/>
              </w:rPr>
            </w:pPr>
          </w:p>
          <w:p w14:paraId="1F685516" w14:textId="77777777" w:rsidR="007A7F9D" w:rsidRDefault="007A7F9D" w:rsidP="00236954">
            <w:pPr>
              <w:jc w:val="both"/>
              <w:rPr>
                <w:sz w:val="18"/>
                <w:szCs w:val="18"/>
                <w:lang w:val="ro-MD"/>
              </w:rPr>
            </w:pPr>
          </w:p>
          <w:p w14:paraId="6A5D2E4C" w14:textId="77777777" w:rsidR="007A7F9D" w:rsidRDefault="007A7F9D" w:rsidP="00236954">
            <w:pPr>
              <w:jc w:val="both"/>
              <w:rPr>
                <w:sz w:val="18"/>
                <w:szCs w:val="18"/>
                <w:lang w:val="ro-MD"/>
              </w:rPr>
            </w:pPr>
          </w:p>
          <w:p w14:paraId="30F8E7C9" w14:textId="77777777" w:rsidR="007A7F9D" w:rsidRDefault="007A7F9D" w:rsidP="00236954">
            <w:pPr>
              <w:jc w:val="both"/>
              <w:rPr>
                <w:sz w:val="18"/>
                <w:szCs w:val="18"/>
                <w:lang w:val="ro-MD"/>
              </w:rPr>
            </w:pPr>
          </w:p>
          <w:p w14:paraId="6A7B161E" w14:textId="77777777" w:rsidR="007A7F9D" w:rsidRDefault="007A7F9D" w:rsidP="00236954">
            <w:pPr>
              <w:jc w:val="both"/>
              <w:rPr>
                <w:sz w:val="18"/>
                <w:szCs w:val="18"/>
                <w:lang w:val="ro-MD"/>
              </w:rPr>
            </w:pPr>
          </w:p>
          <w:p w14:paraId="690EEF52" w14:textId="77777777" w:rsidR="007A7F9D" w:rsidRDefault="007A7F9D" w:rsidP="00236954">
            <w:pPr>
              <w:jc w:val="both"/>
              <w:rPr>
                <w:sz w:val="18"/>
                <w:szCs w:val="18"/>
                <w:lang w:val="ro-MD"/>
              </w:rPr>
            </w:pPr>
          </w:p>
          <w:p w14:paraId="03C7A31A" w14:textId="77777777" w:rsidR="007A7F9D" w:rsidRDefault="007A7F9D" w:rsidP="00236954">
            <w:pPr>
              <w:jc w:val="both"/>
              <w:rPr>
                <w:sz w:val="18"/>
                <w:szCs w:val="18"/>
                <w:lang w:val="ro-MD"/>
              </w:rPr>
            </w:pPr>
          </w:p>
          <w:p w14:paraId="5FAC5918" w14:textId="77777777" w:rsidR="007A7F9D" w:rsidRDefault="007A7F9D" w:rsidP="00236954">
            <w:pPr>
              <w:jc w:val="both"/>
              <w:rPr>
                <w:sz w:val="18"/>
                <w:szCs w:val="18"/>
                <w:lang w:val="ro-MD"/>
              </w:rPr>
            </w:pPr>
          </w:p>
          <w:p w14:paraId="258439D0" w14:textId="77777777" w:rsidR="007A7F9D" w:rsidRDefault="007A7F9D" w:rsidP="00236954">
            <w:pPr>
              <w:jc w:val="both"/>
              <w:rPr>
                <w:sz w:val="18"/>
                <w:szCs w:val="18"/>
                <w:lang w:val="ro-MD"/>
              </w:rPr>
            </w:pPr>
          </w:p>
          <w:p w14:paraId="172093C1" w14:textId="77777777" w:rsidR="007A7F9D" w:rsidRDefault="007A7F9D" w:rsidP="00236954">
            <w:pPr>
              <w:jc w:val="both"/>
              <w:rPr>
                <w:sz w:val="18"/>
                <w:szCs w:val="18"/>
                <w:lang w:val="ro-MD"/>
              </w:rPr>
            </w:pPr>
          </w:p>
          <w:p w14:paraId="0CFBB23B" w14:textId="77777777" w:rsidR="007A7F9D" w:rsidRDefault="007A7F9D" w:rsidP="00236954">
            <w:pPr>
              <w:jc w:val="both"/>
              <w:rPr>
                <w:sz w:val="18"/>
                <w:szCs w:val="18"/>
                <w:lang w:val="ro-MD"/>
              </w:rPr>
            </w:pPr>
          </w:p>
          <w:p w14:paraId="79957D23" w14:textId="77777777" w:rsidR="007A7F9D" w:rsidRDefault="007A7F9D" w:rsidP="00236954">
            <w:pPr>
              <w:jc w:val="both"/>
              <w:rPr>
                <w:sz w:val="18"/>
                <w:szCs w:val="18"/>
                <w:lang w:val="ro-MD"/>
              </w:rPr>
            </w:pPr>
          </w:p>
          <w:p w14:paraId="3B598361" w14:textId="77777777" w:rsidR="007A7F9D" w:rsidRDefault="007A7F9D" w:rsidP="00236954">
            <w:pPr>
              <w:jc w:val="both"/>
              <w:rPr>
                <w:sz w:val="18"/>
                <w:szCs w:val="18"/>
                <w:lang w:val="ro-MD"/>
              </w:rPr>
            </w:pPr>
          </w:p>
          <w:p w14:paraId="6FD36D06" w14:textId="77777777" w:rsidR="007A7F9D" w:rsidRDefault="007A7F9D" w:rsidP="00236954">
            <w:pPr>
              <w:jc w:val="both"/>
              <w:rPr>
                <w:sz w:val="18"/>
                <w:szCs w:val="18"/>
                <w:lang w:val="ro-MD"/>
              </w:rPr>
            </w:pPr>
          </w:p>
          <w:p w14:paraId="33224E40" w14:textId="77777777" w:rsidR="007A7F9D" w:rsidRDefault="007A7F9D" w:rsidP="00236954">
            <w:pPr>
              <w:jc w:val="both"/>
              <w:rPr>
                <w:sz w:val="18"/>
                <w:szCs w:val="18"/>
                <w:lang w:val="ro-MD"/>
              </w:rPr>
            </w:pPr>
          </w:p>
          <w:p w14:paraId="725D30B5" w14:textId="77777777" w:rsidR="007A7F9D" w:rsidRDefault="007A7F9D" w:rsidP="00236954">
            <w:pPr>
              <w:jc w:val="both"/>
              <w:rPr>
                <w:sz w:val="18"/>
                <w:szCs w:val="18"/>
                <w:lang w:val="ro-MD"/>
              </w:rPr>
            </w:pPr>
          </w:p>
          <w:p w14:paraId="5170046A" w14:textId="77777777" w:rsidR="007A7F9D" w:rsidRDefault="007A7F9D" w:rsidP="00236954">
            <w:pPr>
              <w:jc w:val="both"/>
              <w:rPr>
                <w:sz w:val="18"/>
                <w:szCs w:val="18"/>
                <w:lang w:val="ro-MD"/>
              </w:rPr>
            </w:pPr>
          </w:p>
          <w:p w14:paraId="575CA362" w14:textId="77777777" w:rsidR="007A7F9D" w:rsidRDefault="007A7F9D" w:rsidP="00236954">
            <w:pPr>
              <w:jc w:val="both"/>
              <w:rPr>
                <w:sz w:val="18"/>
                <w:szCs w:val="18"/>
                <w:lang w:val="ro-MD"/>
              </w:rPr>
            </w:pPr>
          </w:p>
          <w:p w14:paraId="2611237F" w14:textId="77777777" w:rsidR="007A7F9D" w:rsidRDefault="007A7F9D" w:rsidP="00236954">
            <w:pPr>
              <w:jc w:val="both"/>
              <w:rPr>
                <w:sz w:val="18"/>
                <w:szCs w:val="18"/>
                <w:lang w:val="ro-MD"/>
              </w:rPr>
            </w:pPr>
          </w:p>
          <w:p w14:paraId="56CF13A2" w14:textId="77777777" w:rsidR="007A7F9D" w:rsidRDefault="007A7F9D" w:rsidP="00236954">
            <w:pPr>
              <w:jc w:val="both"/>
              <w:rPr>
                <w:sz w:val="18"/>
                <w:szCs w:val="18"/>
                <w:lang w:val="ro-MD"/>
              </w:rPr>
            </w:pPr>
          </w:p>
          <w:p w14:paraId="305FEA37" w14:textId="77777777" w:rsidR="007A7F9D" w:rsidRDefault="007A7F9D" w:rsidP="00236954">
            <w:pPr>
              <w:jc w:val="both"/>
              <w:rPr>
                <w:sz w:val="18"/>
                <w:szCs w:val="18"/>
                <w:lang w:val="ro-MD"/>
              </w:rPr>
            </w:pPr>
          </w:p>
          <w:p w14:paraId="74561EB3" w14:textId="77777777" w:rsidR="007A7F9D" w:rsidRDefault="007A7F9D" w:rsidP="00236954">
            <w:pPr>
              <w:jc w:val="both"/>
              <w:rPr>
                <w:sz w:val="18"/>
                <w:szCs w:val="18"/>
                <w:lang w:val="ro-MD"/>
              </w:rPr>
            </w:pPr>
          </w:p>
          <w:p w14:paraId="2E556D2F" w14:textId="77777777" w:rsidR="007A7F9D" w:rsidRDefault="007A7F9D" w:rsidP="00236954">
            <w:pPr>
              <w:jc w:val="both"/>
              <w:rPr>
                <w:sz w:val="18"/>
                <w:szCs w:val="18"/>
                <w:lang w:val="ro-MD"/>
              </w:rPr>
            </w:pPr>
          </w:p>
          <w:p w14:paraId="28AE0420" w14:textId="77777777" w:rsidR="007A7F9D" w:rsidRDefault="007A7F9D" w:rsidP="00236954">
            <w:pPr>
              <w:jc w:val="both"/>
              <w:rPr>
                <w:sz w:val="18"/>
                <w:szCs w:val="18"/>
                <w:lang w:val="ro-MD"/>
              </w:rPr>
            </w:pPr>
          </w:p>
          <w:p w14:paraId="70874AD8" w14:textId="77777777" w:rsidR="007A7F9D" w:rsidRDefault="007A7F9D" w:rsidP="00236954">
            <w:pPr>
              <w:jc w:val="both"/>
              <w:rPr>
                <w:sz w:val="18"/>
                <w:szCs w:val="18"/>
                <w:lang w:val="ro-MD"/>
              </w:rPr>
            </w:pPr>
          </w:p>
          <w:p w14:paraId="2856F979" w14:textId="77777777" w:rsidR="007A7F9D" w:rsidRDefault="007A7F9D" w:rsidP="00236954">
            <w:pPr>
              <w:jc w:val="both"/>
              <w:rPr>
                <w:sz w:val="18"/>
                <w:szCs w:val="18"/>
                <w:lang w:val="ro-MD"/>
              </w:rPr>
            </w:pPr>
          </w:p>
          <w:p w14:paraId="33E1E0EB" w14:textId="77777777" w:rsidR="007A7F9D" w:rsidRDefault="007A7F9D" w:rsidP="00236954">
            <w:pPr>
              <w:jc w:val="both"/>
              <w:rPr>
                <w:sz w:val="18"/>
                <w:szCs w:val="18"/>
                <w:lang w:val="ro-MD"/>
              </w:rPr>
            </w:pPr>
          </w:p>
          <w:p w14:paraId="39CA78D2" w14:textId="77777777" w:rsidR="007A7F9D" w:rsidRDefault="007A7F9D" w:rsidP="00236954">
            <w:pPr>
              <w:jc w:val="both"/>
              <w:rPr>
                <w:sz w:val="18"/>
                <w:szCs w:val="18"/>
                <w:lang w:val="ro-MD"/>
              </w:rPr>
            </w:pPr>
          </w:p>
          <w:p w14:paraId="6F04DB62" w14:textId="77777777" w:rsidR="007A7F9D" w:rsidRDefault="007A7F9D" w:rsidP="00236954">
            <w:pPr>
              <w:jc w:val="both"/>
              <w:rPr>
                <w:sz w:val="18"/>
                <w:szCs w:val="18"/>
                <w:lang w:val="ro-MD"/>
              </w:rPr>
            </w:pPr>
          </w:p>
          <w:p w14:paraId="35E6F441" w14:textId="77777777" w:rsidR="007A7F9D" w:rsidRDefault="007A7F9D" w:rsidP="00236954">
            <w:pPr>
              <w:jc w:val="both"/>
              <w:rPr>
                <w:sz w:val="18"/>
                <w:szCs w:val="18"/>
                <w:lang w:val="ro-MD"/>
              </w:rPr>
            </w:pPr>
          </w:p>
          <w:p w14:paraId="2E92732A" w14:textId="77777777" w:rsidR="007A7F9D" w:rsidRDefault="007A7F9D" w:rsidP="00236954">
            <w:pPr>
              <w:jc w:val="both"/>
              <w:rPr>
                <w:sz w:val="18"/>
                <w:szCs w:val="18"/>
                <w:lang w:val="ro-MD"/>
              </w:rPr>
            </w:pPr>
          </w:p>
          <w:p w14:paraId="455ACD45" w14:textId="77777777" w:rsidR="007A7F9D" w:rsidRDefault="007A7F9D" w:rsidP="00236954">
            <w:pPr>
              <w:jc w:val="both"/>
              <w:rPr>
                <w:sz w:val="18"/>
                <w:szCs w:val="18"/>
                <w:lang w:val="ro-MD"/>
              </w:rPr>
            </w:pPr>
          </w:p>
          <w:p w14:paraId="56C71F47" w14:textId="77777777" w:rsidR="007A7F9D" w:rsidRDefault="007A7F9D" w:rsidP="00236954">
            <w:pPr>
              <w:jc w:val="both"/>
              <w:rPr>
                <w:sz w:val="18"/>
                <w:szCs w:val="18"/>
                <w:lang w:val="ro-MD"/>
              </w:rPr>
            </w:pPr>
          </w:p>
          <w:p w14:paraId="3475D886" w14:textId="77777777" w:rsidR="007A7F9D" w:rsidRDefault="007A7F9D" w:rsidP="00236954">
            <w:pPr>
              <w:jc w:val="both"/>
              <w:rPr>
                <w:sz w:val="18"/>
                <w:szCs w:val="18"/>
                <w:lang w:val="ro-MD"/>
              </w:rPr>
            </w:pPr>
          </w:p>
          <w:p w14:paraId="32588EC4" w14:textId="77777777" w:rsidR="007A7F9D" w:rsidRDefault="007A7F9D" w:rsidP="00236954">
            <w:pPr>
              <w:jc w:val="both"/>
              <w:rPr>
                <w:sz w:val="18"/>
                <w:szCs w:val="18"/>
                <w:lang w:val="ro-MD"/>
              </w:rPr>
            </w:pPr>
          </w:p>
          <w:p w14:paraId="161C42FC" w14:textId="77777777" w:rsidR="007A7F9D" w:rsidRDefault="007A7F9D" w:rsidP="00236954">
            <w:pPr>
              <w:jc w:val="both"/>
              <w:rPr>
                <w:sz w:val="18"/>
                <w:szCs w:val="18"/>
                <w:lang w:val="ro-MD"/>
              </w:rPr>
            </w:pPr>
          </w:p>
          <w:p w14:paraId="7204F8B1" w14:textId="77777777" w:rsidR="007A7F9D" w:rsidRDefault="007A7F9D" w:rsidP="00236954">
            <w:pPr>
              <w:jc w:val="both"/>
              <w:rPr>
                <w:sz w:val="18"/>
                <w:szCs w:val="18"/>
                <w:lang w:val="ro-MD"/>
              </w:rPr>
            </w:pPr>
          </w:p>
          <w:p w14:paraId="0EBD93DB" w14:textId="77777777" w:rsidR="007A7F9D" w:rsidRDefault="007A7F9D" w:rsidP="00236954">
            <w:pPr>
              <w:jc w:val="both"/>
              <w:rPr>
                <w:sz w:val="18"/>
                <w:szCs w:val="18"/>
                <w:lang w:val="ro-MD"/>
              </w:rPr>
            </w:pPr>
          </w:p>
          <w:p w14:paraId="72C5FAA7" w14:textId="77777777" w:rsidR="007A7F9D" w:rsidRDefault="007A7F9D" w:rsidP="00236954">
            <w:pPr>
              <w:jc w:val="both"/>
              <w:rPr>
                <w:sz w:val="18"/>
                <w:szCs w:val="18"/>
                <w:lang w:val="ro-MD"/>
              </w:rPr>
            </w:pPr>
          </w:p>
          <w:p w14:paraId="68A6A309" w14:textId="77777777" w:rsidR="007A7F9D" w:rsidRDefault="007A7F9D" w:rsidP="00236954">
            <w:pPr>
              <w:jc w:val="both"/>
              <w:rPr>
                <w:sz w:val="18"/>
                <w:szCs w:val="18"/>
                <w:lang w:val="ro-MD"/>
              </w:rPr>
            </w:pPr>
          </w:p>
          <w:p w14:paraId="5E36E972" w14:textId="77777777" w:rsidR="007A7F9D" w:rsidRDefault="007A7F9D" w:rsidP="00236954">
            <w:pPr>
              <w:jc w:val="both"/>
              <w:rPr>
                <w:sz w:val="18"/>
                <w:szCs w:val="18"/>
                <w:lang w:val="ro-MD"/>
              </w:rPr>
            </w:pPr>
          </w:p>
          <w:p w14:paraId="454C7CD7" w14:textId="77777777" w:rsidR="007A7F9D" w:rsidRDefault="007A7F9D" w:rsidP="00236954">
            <w:pPr>
              <w:jc w:val="both"/>
              <w:rPr>
                <w:sz w:val="18"/>
                <w:szCs w:val="18"/>
                <w:lang w:val="ro-MD"/>
              </w:rPr>
            </w:pPr>
          </w:p>
          <w:p w14:paraId="0E56AE1C" w14:textId="77777777" w:rsidR="007A7F9D" w:rsidRDefault="007A7F9D" w:rsidP="00236954">
            <w:pPr>
              <w:jc w:val="both"/>
              <w:rPr>
                <w:sz w:val="18"/>
                <w:szCs w:val="18"/>
                <w:lang w:val="ro-MD"/>
              </w:rPr>
            </w:pPr>
          </w:p>
          <w:p w14:paraId="04194900" w14:textId="77777777" w:rsidR="007A7F9D" w:rsidRDefault="007A7F9D" w:rsidP="00236954">
            <w:pPr>
              <w:jc w:val="both"/>
              <w:rPr>
                <w:sz w:val="18"/>
                <w:szCs w:val="18"/>
                <w:lang w:val="ro-MD"/>
              </w:rPr>
            </w:pPr>
          </w:p>
          <w:p w14:paraId="30AD4705" w14:textId="3FE19D8B" w:rsidR="007A7F9D" w:rsidRPr="00A96E09" w:rsidRDefault="007A7F9D" w:rsidP="003F39BE">
            <w:pPr>
              <w:jc w:val="both"/>
              <w:rPr>
                <w:sz w:val="18"/>
                <w:szCs w:val="18"/>
                <w:lang w:val="ro-MD"/>
              </w:rPr>
            </w:pPr>
          </w:p>
        </w:tc>
        <w:tc>
          <w:tcPr>
            <w:tcW w:w="4683" w:type="dxa"/>
            <w:tcBorders>
              <w:top w:val="single" w:sz="4" w:space="0" w:color="auto"/>
              <w:bottom w:val="single" w:sz="4" w:space="0" w:color="auto"/>
            </w:tcBorders>
          </w:tcPr>
          <w:p w14:paraId="028A4DF5" w14:textId="77777777" w:rsidR="007A7F9D" w:rsidRPr="00A96E09" w:rsidRDefault="007A7F9D" w:rsidP="00236954">
            <w:pPr>
              <w:rPr>
                <w:sz w:val="18"/>
                <w:szCs w:val="18"/>
                <w:lang w:val="ro-MD"/>
              </w:rPr>
            </w:pPr>
          </w:p>
        </w:tc>
      </w:tr>
      <w:tr w:rsidR="007A7F9D" w:rsidRPr="00EB7E01" w14:paraId="4759E9AF" w14:textId="77777777" w:rsidTr="00C14AF6">
        <w:trPr>
          <w:trHeight w:val="918"/>
        </w:trPr>
        <w:tc>
          <w:tcPr>
            <w:tcW w:w="3866" w:type="dxa"/>
          </w:tcPr>
          <w:p w14:paraId="5E1A7E74" w14:textId="79EFB230" w:rsidR="007A7F9D" w:rsidRPr="007A7F9D" w:rsidRDefault="007A7F9D" w:rsidP="007A7F9D">
            <w:pPr>
              <w:pStyle w:val="title-article-norm"/>
              <w:jc w:val="left"/>
              <w:rPr>
                <w:b/>
                <w:bCs/>
                <w:iCs w:val="0"/>
                <w:sz w:val="18"/>
                <w:szCs w:val="18"/>
                <w:lang w:val="ro-MD"/>
              </w:rPr>
            </w:pPr>
            <w:r w:rsidRPr="007A7F9D">
              <w:rPr>
                <w:iCs w:val="0"/>
                <w:sz w:val="18"/>
                <w:szCs w:val="18"/>
                <w:lang w:val="ro-MD"/>
              </w:rPr>
              <w:lastRenderedPageBreak/>
              <w:t xml:space="preserve">Articolul 288 </w:t>
            </w:r>
            <w:r w:rsidRPr="007A7F9D">
              <w:rPr>
                <w:b/>
                <w:bCs/>
                <w:iCs w:val="0"/>
                <w:sz w:val="18"/>
                <w:szCs w:val="18"/>
                <w:lang w:val="ro-MD"/>
              </w:rPr>
              <w:t>Reexaminarea sistemului de gestionare a riscului de credit al contrapărții</w:t>
            </w:r>
          </w:p>
          <w:p w14:paraId="67F63281" w14:textId="77777777" w:rsidR="007A7F9D" w:rsidRPr="00952975" w:rsidRDefault="007A7F9D" w:rsidP="007A7F9D">
            <w:pPr>
              <w:pStyle w:val="title-article-norm"/>
              <w:jc w:val="left"/>
              <w:rPr>
                <w:i w:val="0"/>
                <w:sz w:val="18"/>
                <w:szCs w:val="18"/>
                <w:lang w:val="ro-MD"/>
              </w:rPr>
            </w:pPr>
            <w:r w:rsidRPr="00952975">
              <w:rPr>
                <w:i w:val="0"/>
                <w:sz w:val="18"/>
                <w:szCs w:val="18"/>
                <w:lang w:val="ro-MD"/>
              </w:rPr>
              <w:t>O instituție trebuie să efectueze cu regularitate o reexaminare independentă a sistemului său de gestionare a riscului de credit al contrapărții, prin intermediul procesului său de audit intern. Această reexaminare trebuie să includă atât activitățile unității de control al riscului, cât și pe cele ale unității de gestionare a garanțiilor reale, solicitate la articolul 287, și trebuie să vizeze, în special, cel puțin:</w:t>
            </w:r>
          </w:p>
          <w:p w14:paraId="3D38CDF0" w14:textId="3CC9E391" w:rsidR="007A7F9D" w:rsidRPr="00952975" w:rsidRDefault="007A7F9D" w:rsidP="007A7F9D">
            <w:pPr>
              <w:pStyle w:val="title-article-norm"/>
              <w:jc w:val="left"/>
              <w:rPr>
                <w:i w:val="0"/>
                <w:sz w:val="18"/>
                <w:szCs w:val="18"/>
                <w:lang w:val="ro-MD"/>
              </w:rPr>
            </w:pPr>
            <w:r w:rsidRPr="00952975">
              <w:rPr>
                <w:i w:val="0"/>
                <w:sz w:val="18"/>
                <w:szCs w:val="18"/>
                <w:lang w:val="ro-MD"/>
              </w:rPr>
              <w:t>(a)</w:t>
            </w:r>
            <w:r>
              <w:rPr>
                <w:i w:val="0"/>
                <w:sz w:val="18"/>
                <w:szCs w:val="18"/>
                <w:lang w:val="ro-MD"/>
              </w:rPr>
              <w:t xml:space="preserve"> </w:t>
            </w:r>
            <w:r w:rsidRPr="00952975">
              <w:rPr>
                <w:i w:val="0"/>
                <w:sz w:val="18"/>
                <w:szCs w:val="18"/>
                <w:lang w:val="ro-MD"/>
              </w:rPr>
              <w:t>caracterul adecvat al formalizării sistemului și procesului de gestionare a riscului de credit al contrapărții solicitat la articolul 286;</w:t>
            </w:r>
          </w:p>
          <w:p w14:paraId="55AD9AD0" w14:textId="282C164E" w:rsidR="007A7F9D" w:rsidRPr="00952975" w:rsidRDefault="007A7F9D" w:rsidP="007A7F9D">
            <w:pPr>
              <w:pStyle w:val="title-article-norm"/>
              <w:jc w:val="left"/>
              <w:rPr>
                <w:i w:val="0"/>
                <w:sz w:val="18"/>
                <w:szCs w:val="18"/>
                <w:lang w:val="ro-MD"/>
              </w:rPr>
            </w:pPr>
            <w:r w:rsidRPr="00952975">
              <w:rPr>
                <w:i w:val="0"/>
                <w:sz w:val="18"/>
                <w:szCs w:val="18"/>
                <w:lang w:val="ro-MD"/>
              </w:rPr>
              <w:t>(b) organizarea unității de control al riscului de credit al contrapărții solicitată la articolul 287 alineatul (1) litera (a);</w:t>
            </w:r>
          </w:p>
          <w:p w14:paraId="0A05C3E7" w14:textId="3E608601" w:rsidR="007A7F9D" w:rsidRPr="00952975" w:rsidRDefault="007A7F9D" w:rsidP="007A7F9D">
            <w:pPr>
              <w:pStyle w:val="title-article-norm"/>
              <w:jc w:val="left"/>
              <w:rPr>
                <w:i w:val="0"/>
                <w:sz w:val="18"/>
                <w:szCs w:val="18"/>
                <w:lang w:val="ro-MD"/>
              </w:rPr>
            </w:pPr>
            <w:r w:rsidRPr="00952975">
              <w:rPr>
                <w:i w:val="0"/>
                <w:sz w:val="18"/>
                <w:szCs w:val="18"/>
                <w:lang w:val="ro-MD"/>
              </w:rPr>
              <w:t>(c) organizarea unității de gestionare a garanțiilor reale solicitată la articolul 287 alineatul (1) litera (b);</w:t>
            </w:r>
          </w:p>
          <w:p w14:paraId="344744EC" w14:textId="71E4F699" w:rsidR="007A7F9D" w:rsidRPr="00952975" w:rsidRDefault="007A7F9D" w:rsidP="007A7F9D">
            <w:pPr>
              <w:pStyle w:val="title-article-norm"/>
              <w:jc w:val="left"/>
              <w:rPr>
                <w:i w:val="0"/>
                <w:sz w:val="18"/>
                <w:szCs w:val="18"/>
                <w:lang w:val="ro-MD"/>
              </w:rPr>
            </w:pPr>
            <w:r w:rsidRPr="00952975">
              <w:rPr>
                <w:i w:val="0"/>
                <w:sz w:val="18"/>
                <w:szCs w:val="18"/>
                <w:lang w:val="ro-MD"/>
              </w:rPr>
              <w:t>(d)</w:t>
            </w:r>
            <w:r>
              <w:rPr>
                <w:i w:val="0"/>
                <w:sz w:val="18"/>
                <w:szCs w:val="18"/>
                <w:lang w:val="ro-MD"/>
              </w:rPr>
              <w:t xml:space="preserve"> </w:t>
            </w:r>
            <w:r w:rsidRPr="00952975">
              <w:rPr>
                <w:i w:val="0"/>
                <w:sz w:val="18"/>
                <w:szCs w:val="18"/>
                <w:lang w:val="ro-MD"/>
              </w:rPr>
              <w:t>integrarea măsurărilor riscului de credit al contrapărții în gestionarea zilnică a riscurilor;</w:t>
            </w:r>
          </w:p>
          <w:p w14:paraId="7E10E3FA" w14:textId="77D530BB" w:rsidR="007A7F9D" w:rsidRPr="00952975" w:rsidRDefault="007A7F9D" w:rsidP="007A7F9D">
            <w:pPr>
              <w:pStyle w:val="title-article-norm"/>
              <w:jc w:val="left"/>
              <w:rPr>
                <w:i w:val="0"/>
                <w:sz w:val="18"/>
                <w:szCs w:val="18"/>
                <w:lang w:val="ro-MD"/>
              </w:rPr>
            </w:pPr>
            <w:r w:rsidRPr="00952975">
              <w:rPr>
                <w:i w:val="0"/>
                <w:sz w:val="18"/>
                <w:szCs w:val="18"/>
                <w:lang w:val="ro-MD"/>
              </w:rPr>
              <w:t>(e) procesul de aprobare a modelelor de evaluare a riscului (risk pricing models) și a sistemelor de evaluare utilizate de personalul din unitățile responsabile cu inițierea tranzacțiilor (front-office) și din unitățile responsabile cu înregistrarea și monitorizarea tranzacțiilor inițiate (back-office);</w:t>
            </w:r>
          </w:p>
          <w:p w14:paraId="37F100EE" w14:textId="5BF1DFFA" w:rsidR="007A7F9D" w:rsidRPr="00952975" w:rsidRDefault="007A7F9D" w:rsidP="007A7F9D">
            <w:pPr>
              <w:pStyle w:val="title-article-norm"/>
              <w:jc w:val="left"/>
              <w:rPr>
                <w:i w:val="0"/>
                <w:sz w:val="18"/>
                <w:szCs w:val="18"/>
                <w:lang w:val="ro-MD"/>
              </w:rPr>
            </w:pPr>
            <w:r w:rsidRPr="00952975">
              <w:rPr>
                <w:i w:val="0"/>
                <w:sz w:val="18"/>
                <w:szCs w:val="18"/>
                <w:lang w:val="ro-MD"/>
              </w:rPr>
              <w:lastRenderedPageBreak/>
              <w:t xml:space="preserve">(f) </w:t>
            </w:r>
            <w:r>
              <w:rPr>
                <w:i w:val="0"/>
                <w:sz w:val="18"/>
                <w:szCs w:val="18"/>
                <w:lang w:val="ro-MD"/>
              </w:rPr>
              <w:t xml:space="preserve"> </w:t>
            </w:r>
            <w:r w:rsidRPr="00952975">
              <w:rPr>
                <w:i w:val="0"/>
                <w:sz w:val="18"/>
                <w:szCs w:val="18"/>
                <w:lang w:val="ro-MD"/>
              </w:rPr>
              <w:t>validarea oricărei modificări semnificative a procesului de măsurare a riscului de credit al contrapărții;</w:t>
            </w:r>
          </w:p>
          <w:p w14:paraId="136FF2A2" w14:textId="75725FCD" w:rsidR="007A7F9D" w:rsidRPr="00952975" w:rsidRDefault="007A7F9D" w:rsidP="007A7F9D">
            <w:pPr>
              <w:pStyle w:val="title-article-norm"/>
              <w:jc w:val="left"/>
              <w:rPr>
                <w:i w:val="0"/>
                <w:sz w:val="18"/>
                <w:szCs w:val="18"/>
                <w:lang w:val="ro-MD"/>
              </w:rPr>
            </w:pPr>
            <w:r w:rsidRPr="00952975">
              <w:rPr>
                <w:i w:val="0"/>
                <w:sz w:val="18"/>
                <w:szCs w:val="18"/>
                <w:lang w:val="ro-MD"/>
              </w:rPr>
              <w:t>(g) sfera de cuprindere a riscului de credit al contrapărții, reflectată de modelul de măsurare a riscului;</w:t>
            </w:r>
          </w:p>
          <w:p w14:paraId="05AF375B" w14:textId="3FD2244C" w:rsidR="007A7F9D" w:rsidRPr="00952975" w:rsidRDefault="007A7F9D" w:rsidP="007A7F9D">
            <w:pPr>
              <w:pStyle w:val="title-article-norm"/>
              <w:jc w:val="left"/>
              <w:rPr>
                <w:i w:val="0"/>
                <w:sz w:val="18"/>
                <w:szCs w:val="18"/>
                <w:lang w:val="ro-MD"/>
              </w:rPr>
            </w:pPr>
            <w:r w:rsidRPr="00952975">
              <w:rPr>
                <w:i w:val="0"/>
                <w:sz w:val="18"/>
                <w:szCs w:val="18"/>
                <w:lang w:val="ro-MD"/>
              </w:rPr>
              <w:t>(h) integritatea sistemului de informare al conducerii;</w:t>
            </w:r>
          </w:p>
          <w:p w14:paraId="75B3BFC0" w14:textId="7BC755F1" w:rsidR="007A7F9D" w:rsidRPr="00952975" w:rsidRDefault="007A7F9D" w:rsidP="007A7F9D">
            <w:pPr>
              <w:pStyle w:val="title-article-norm"/>
              <w:jc w:val="left"/>
              <w:rPr>
                <w:i w:val="0"/>
                <w:sz w:val="18"/>
                <w:szCs w:val="18"/>
                <w:lang w:val="ro-MD"/>
              </w:rPr>
            </w:pPr>
            <w:r w:rsidRPr="00952975">
              <w:rPr>
                <w:i w:val="0"/>
                <w:sz w:val="18"/>
                <w:szCs w:val="18"/>
                <w:lang w:val="ro-MD"/>
              </w:rPr>
              <w:t>(i) acuratețea și exhaustivitatea datelor privind riscul de credit al contrapărții;</w:t>
            </w:r>
          </w:p>
          <w:p w14:paraId="7F69E9F5" w14:textId="446536C1" w:rsidR="007A7F9D" w:rsidRPr="00952975" w:rsidRDefault="007A7F9D" w:rsidP="007A7F9D">
            <w:pPr>
              <w:pStyle w:val="title-article-norm"/>
              <w:jc w:val="left"/>
              <w:rPr>
                <w:i w:val="0"/>
                <w:sz w:val="18"/>
                <w:szCs w:val="18"/>
                <w:lang w:val="ro-MD"/>
              </w:rPr>
            </w:pPr>
            <w:r w:rsidRPr="00952975">
              <w:rPr>
                <w:i w:val="0"/>
                <w:sz w:val="18"/>
                <w:szCs w:val="18"/>
                <w:lang w:val="ro-MD"/>
              </w:rPr>
              <w:t>(j)</w:t>
            </w:r>
            <w:r>
              <w:rPr>
                <w:i w:val="0"/>
                <w:sz w:val="18"/>
                <w:szCs w:val="18"/>
                <w:lang w:val="ro-MD"/>
              </w:rPr>
              <w:t xml:space="preserve"> </w:t>
            </w:r>
            <w:r w:rsidRPr="00952975">
              <w:rPr>
                <w:i w:val="0"/>
                <w:sz w:val="18"/>
                <w:szCs w:val="18"/>
                <w:lang w:val="ro-MD"/>
              </w:rPr>
              <w:t>reflectarea exactă a condițiilor juridice ale acordurilor de garanție reală și ale acordurilor de compensare în măsurările valorii expunerii;</w:t>
            </w:r>
          </w:p>
          <w:p w14:paraId="45BE83F8" w14:textId="77777777" w:rsidR="007A7F9D" w:rsidRDefault="007A7F9D" w:rsidP="007A7F9D">
            <w:pPr>
              <w:pStyle w:val="title-article-norm"/>
              <w:jc w:val="left"/>
              <w:rPr>
                <w:i w:val="0"/>
                <w:sz w:val="18"/>
                <w:szCs w:val="18"/>
                <w:lang w:val="ro-MD"/>
              </w:rPr>
            </w:pPr>
            <w:r w:rsidRPr="00952975">
              <w:rPr>
                <w:i w:val="0"/>
                <w:sz w:val="18"/>
                <w:szCs w:val="18"/>
                <w:lang w:val="ro-MD"/>
              </w:rPr>
              <w:t>(k)</w:t>
            </w:r>
            <w:r>
              <w:rPr>
                <w:i w:val="0"/>
                <w:sz w:val="18"/>
                <w:szCs w:val="18"/>
                <w:lang w:val="ro-MD"/>
              </w:rPr>
              <w:t xml:space="preserve"> </w:t>
            </w:r>
            <w:r w:rsidRPr="00952975">
              <w:rPr>
                <w:i w:val="0"/>
                <w:sz w:val="18"/>
                <w:szCs w:val="18"/>
                <w:lang w:val="ro-MD"/>
              </w:rPr>
              <w:t>verificarea coerenței, caracterului actual i și credibilității surselor de date utilizate în derularea modelelor, inclusiv a independenței acestor surse de date;</w:t>
            </w:r>
          </w:p>
          <w:p w14:paraId="57F23EB6" w14:textId="38D999F6" w:rsidR="007A7F9D" w:rsidRPr="00952975" w:rsidRDefault="007A7F9D" w:rsidP="007A7F9D">
            <w:pPr>
              <w:pStyle w:val="title-article-norm"/>
              <w:jc w:val="left"/>
              <w:rPr>
                <w:i w:val="0"/>
                <w:sz w:val="18"/>
                <w:szCs w:val="18"/>
                <w:lang w:val="ro-MD"/>
              </w:rPr>
            </w:pPr>
            <w:r w:rsidRPr="00952975">
              <w:rPr>
                <w:i w:val="0"/>
                <w:sz w:val="18"/>
                <w:szCs w:val="18"/>
                <w:lang w:val="ro-MD"/>
              </w:rPr>
              <w:t>(l) acuratețea și caracterul adecvat al ipotezelor privind volatilitatea și corelarea;</w:t>
            </w:r>
          </w:p>
          <w:p w14:paraId="23AE3C54" w14:textId="0EF4362E" w:rsidR="007A7F9D" w:rsidRPr="00952975" w:rsidRDefault="007A7F9D" w:rsidP="007A7F9D">
            <w:pPr>
              <w:pStyle w:val="title-article-norm"/>
              <w:jc w:val="left"/>
              <w:rPr>
                <w:i w:val="0"/>
                <w:sz w:val="18"/>
                <w:szCs w:val="18"/>
                <w:lang w:val="ro-MD"/>
              </w:rPr>
            </w:pPr>
            <w:r w:rsidRPr="00952975">
              <w:rPr>
                <w:i w:val="0"/>
                <w:sz w:val="18"/>
                <w:szCs w:val="18"/>
                <w:lang w:val="ro-MD"/>
              </w:rPr>
              <w:t>(m) acuratețea calculelor privind evaluarea și transformarea riscului;</w:t>
            </w:r>
          </w:p>
          <w:p w14:paraId="25C42FA9" w14:textId="49CF44F3" w:rsidR="007A7F9D" w:rsidRPr="00952975" w:rsidRDefault="007A7F9D" w:rsidP="007A7F9D">
            <w:pPr>
              <w:pStyle w:val="title-article-norm"/>
              <w:jc w:val="left"/>
              <w:rPr>
                <w:i w:val="0"/>
                <w:sz w:val="18"/>
                <w:szCs w:val="18"/>
                <w:lang w:val="ro-MD"/>
              </w:rPr>
            </w:pPr>
            <w:r w:rsidRPr="00952975">
              <w:rPr>
                <w:i w:val="0"/>
                <w:sz w:val="18"/>
                <w:szCs w:val="18"/>
                <w:lang w:val="ro-MD"/>
              </w:rPr>
              <w:t>(n) verificarea acurateței modelului prin teste ex-post (back-testing) frecvente, prevăzute la articolul 293 alineatul (1) literele (b)-(e);</w:t>
            </w:r>
          </w:p>
          <w:p w14:paraId="05DCA7B6" w14:textId="1CD8827C" w:rsidR="007A7F9D" w:rsidRPr="00A96E09" w:rsidRDefault="007A7F9D" w:rsidP="007A7F9D">
            <w:pPr>
              <w:pStyle w:val="title-article-norm"/>
              <w:jc w:val="left"/>
              <w:rPr>
                <w:i w:val="0"/>
                <w:sz w:val="18"/>
                <w:szCs w:val="18"/>
                <w:lang w:val="ro-MD"/>
              </w:rPr>
            </w:pPr>
            <w:r w:rsidRPr="00952975">
              <w:rPr>
                <w:i w:val="0"/>
                <w:sz w:val="18"/>
                <w:szCs w:val="18"/>
                <w:lang w:val="ro-MD"/>
              </w:rPr>
              <w:t>(o)</w:t>
            </w:r>
            <w:r>
              <w:rPr>
                <w:i w:val="0"/>
                <w:sz w:val="18"/>
                <w:szCs w:val="18"/>
                <w:lang w:val="ro-MD"/>
              </w:rPr>
              <w:t xml:space="preserve"> </w:t>
            </w:r>
            <w:r w:rsidRPr="00952975">
              <w:rPr>
                <w:i w:val="0"/>
                <w:sz w:val="18"/>
                <w:szCs w:val="18"/>
                <w:lang w:val="ro-MD"/>
              </w:rPr>
              <w:t>respectarea de către unitatea de control al riscului de credit al contrapărții și de către unitatea de gestionare a garanțiilor reale a cerințelor reglementare relevante.</w:t>
            </w:r>
          </w:p>
        </w:tc>
        <w:tc>
          <w:tcPr>
            <w:tcW w:w="4356" w:type="dxa"/>
            <w:vMerge/>
          </w:tcPr>
          <w:p w14:paraId="7D1A9574" w14:textId="77777777" w:rsidR="007A7F9D" w:rsidRPr="008070DB" w:rsidRDefault="007A7F9D" w:rsidP="00236954">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554" w:type="dxa"/>
            <w:vMerge/>
          </w:tcPr>
          <w:p w14:paraId="7FE48703" w14:textId="2AD03DE0" w:rsidR="007A7F9D" w:rsidRPr="00A96E09" w:rsidRDefault="007A7F9D" w:rsidP="00236954">
            <w:pPr>
              <w:jc w:val="both"/>
              <w:rPr>
                <w:sz w:val="18"/>
                <w:szCs w:val="18"/>
                <w:lang w:val="ro-MD"/>
              </w:rPr>
            </w:pPr>
          </w:p>
        </w:tc>
        <w:tc>
          <w:tcPr>
            <w:tcW w:w="4683" w:type="dxa"/>
            <w:tcBorders>
              <w:top w:val="single" w:sz="4" w:space="0" w:color="auto"/>
              <w:bottom w:val="single" w:sz="4" w:space="0" w:color="auto"/>
            </w:tcBorders>
          </w:tcPr>
          <w:p w14:paraId="7D1C724D" w14:textId="77777777" w:rsidR="007A7F9D" w:rsidRPr="00A96E09" w:rsidRDefault="007A7F9D" w:rsidP="00236954">
            <w:pPr>
              <w:rPr>
                <w:sz w:val="18"/>
                <w:szCs w:val="18"/>
                <w:lang w:val="ro-MD"/>
              </w:rPr>
            </w:pPr>
          </w:p>
        </w:tc>
      </w:tr>
      <w:tr w:rsidR="00236954" w:rsidRPr="007C0793" w14:paraId="23073951" w14:textId="77777777" w:rsidTr="00C14AF6">
        <w:trPr>
          <w:trHeight w:val="918"/>
        </w:trPr>
        <w:tc>
          <w:tcPr>
            <w:tcW w:w="3866" w:type="dxa"/>
          </w:tcPr>
          <w:p w14:paraId="18269C44" w14:textId="792D8F65" w:rsidR="00090866" w:rsidRPr="00090866" w:rsidRDefault="00090866" w:rsidP="00090866">
            <w:pPr>
              <w:pStyle w:val="title-article-norm"/>
              <w:jc w:val="left"/>
              <w:rPr>
                <w:b/>
                <w:bCs/>
                <w:iCs w:val="0"/>
                <w:sz w:val="18"/>
                <w:szCs w:val="18"/>
                <w:lang w:val="ro-MD"/>
              </w:rPr>
            </w:pPr>
            <w:r w:rsidRPr="00090866">
              <w:rPr>
                <w:iCs w:val="0"/>
                <w:sz w:val="18"/>
                <w:szCs w:val="18"/>
                <w:lang w:val="ro-MD"/>
              </w:rPr>
              <w:lastRenderedPageBreak/>
              <w:t>Articolul 289</w:t>
            </w:r>
            <w:r w:rsidRPr="00090866">
              <w:rPr>
                <w:b/>
                <w:bCs/>
                <w:iCs w:val="0"/>
                <w:sz w:val="18"/>
                <w:szCs w:val="18"/>
                <w:lang w:val="ro-MD"/>
              </w:rPr>
              <w:t xml:space="preserve"> Testul de utilizare</w:t>
            </w:r>
          </w:p>
          <w:p w14:paraId="32B09248" w14:textId="77777777" w:rsidR="00090866" w:rsidRPr="00090866" w:rsidRDefault="00090866" w:rsidP="00090866">
            <w:pPr>
              <w:pStyle w:val="title-article-norm"/>
              <w:jc w:val="both"/>
              <w:rPr>
                <w:i w:val="0"/>
                <w:sz w:val="18"/>
                <w:szCs w:val="18"/>
                <w:lang w:val="ro-MD"/>
              </w:rPr>
            </w:pPr>
            <w:r w:rsidRPr="00090866">
              <w:rPr>
                <w:i w:val="0"/>
                <w:sz w:val="18"/>
                <w:szCs w:val="18"/>
                <w:lang w:val="ro-MD"/>
              </w:rPr>
              <w:t>(1)   Instituțiile trebuie să se asigure că distribuția expunerilor generată de modelul utilizat pentru a calcula expunerea pozitivă așteptată efectivă este integrată în procesul zilnic de gestionare a riscului de credit al contrapărții și că rezultatele modelului sunt luate în considerare în procesul de aprobare a creditelor, de gestionare a riscului de credit al contrapărții, de alocare a capitalului intern și în cadrul de administrare.</w:t>
            </w:r>
          </w:p>
          <w:p w14:paraId="3AE8A90D" w14:textId="77777777" w:rsidR="00090866" w:rsidRPr="00090866" w:rsidRDefault="00090866" w:rsidP="00090866">
            <w:pPr>
              <w:pStyle w:val="title-article-norm"/>
              <w:jc w:val="both"/>
              <w:rPr>
                <w:i w:val="0"/>
                <w:sz w:val="18"/>
                <w:szCs w:val="18"/>
                <w:lang w:val="ro-MD"/>
              </w:rPr>
            </w:pPr>
            <w:r w:rsidRPr="00090866">
              <w:rPr>
                <w:i w:val="0"/>
                <w:sz w:val="18"/>
                <w:szCs w:val="18"/>
                <w:lang w:val="ro-MD"/>
              </w:rPr>
              <w:t>(2)   Instituția trebuie să demonstreze în mod satisfăcător autorităților competente că a utilizat, timp de cel puțin un an înainte de a primi, în conformitate cu articolul 283, aprobarea autorităților competente de a utiliza MMI, un model pentru a calcula distribuția expunerilor pe care se bazează calculul expunerii pozitive așteptate, care îndeplinește, în linii mari, cerințele prevăzute în această secțiune.</w:t>
            </w:r>
          </w:p>
          <w:p w14:paraId="0AAA29D9" w14:textId="77777777" w:rsidR="00090866" w:rsidRPr="00090866" w:rsidRDefault="00090866" w:rsidP="00090866">
            <w:pPr>
              <w:pStyle w:val="title-article-norm"/>
              <w:jc w:val="both"/>
              <w:rPr>
                <w:i w:val="0"/>
                <w:sz w:val="18"/>
                <w:szCs w:val="18"/>
                <w:lang w:val="ro-MD"/>
              </w:rPr>
            </w:pPr>
            <w:r w:rsidRPr="00090866">
              <w:rPr>
                <w:i w:val="0"/>
                <w:sz w:val="18"/>
                <w:szCs w:val="18"/>
                <w:lang w:val="ro-MD"/>
              </w:rPr>
              <w:t>(3)   Modelul utilizat pentru a genera o distribuție a expunerilor la riscul de credit al contrapărții trebuie să facă parte integrantă din cadrul de gestionare a riscului de credit al contrapărții solicitat la articolul 286. Acest cadru trebuie să includă măsurarea utilizării liniilor de credit, prin agregarea expunerilor la riscul de credit al contrapărții cu alte expuneri din credite și alocarea capitalului intern.</w:t>
            </w:r>
          </w:p>
          <w:p w14:paraId="3D14204E" w14:textId="77777777" w:rsidR="00090866" w:rsidRPr="00090866" w:rsidRDefault="00090866" w:rsidP="00090866">
            <w:pPr>
              <w:pStyle w:val="title-article-norm"/>
              <w:jc w:val="both"/>
              <w:rPr>
                <w:i w:val="0"/>
                <w:sz w:val="18"/>
                <w:szCs w:val="18"/>
                <w:lang w:val="ro-MD"/>
              </w:rPr>
            </w:pPr>
            <w:r w:rsidRPr="00090866">
              <w:rPr>
                <w:i w:val="0"/>
                <w:sz w:val="18"/>
                <w:szCs w:val="18"/>
                <w:lang w:val="ro-MD"/>
              </w:rPr>
              <w:t xml:space="preserve">(4)   Pe lângă expunerea pozitivă așteptată, o instituție trebuie să măsoare și să administreze expunerile curente. După caz, instituția trebuie să măsoare expunerea curentă brută și netă de garanții reale. Se consideră că testul de utilizare a fost efectuat dacă o instituție utilizează alte măsurări ale riscului de credit al contrapărții, precum expunerea maximă, bazate pe distribuția expunerilor generată </w:t>
            </w:r>
            <w:r w:rsidRPr="00090866">
              <w:rPr>
                <w:i w:val="0"/>
                <w:sz w:val="18"/>
                <w:szCs w:val="18"/>
                <w:lang w:val="ro-MD"/>
              </w:rPr>
              <w:lastRenderedPageBreak/>
              <w:t>de modelul cu care se calculează expunerea pozitivă așteptată.</w:t>
            </w:r>
          </w:p>
          <w:p w14:paraId="48282C33" w14:textId="77777777" w:rsidR="00090866" w:rsidRPr="00090866" w:rsidRDefault="00090866" w:rsidP="00090866">
            <w:pPr>
              <w:pStyle w:val="title-article-norm"/>
              <w:jc w:val="both"/>
              <w:rPr>
                <w:i w:val="0"/>
                <w:sz w:val="18"/>
                <w:szCs w:val="18"/>
                <w:lang w:val="ro-MD"/>
              </w:rPr>
            </w:pPr>
            <w:r w:rsidRPr="00090866">
              <w:rPr>
                <w:i w:val="0"/>
                <w:sz w:val="18"/>
                <w:szCs w:val="18"/>
                <w:lang w:val="ro-MD"/>
              </w:rPr>
              <w:t>(5)   O instituție trebuie să dispună de sisteme care pot estima zilnic expunerea așteptată, dacă este necesar, cu excepția cazului în care demonstrează în mod satisfăcător autorităților competente că expunerile sale la riscul de credit al contrapărții justifică o frecvență a calculului mai mică. Instituția trebuie să estimeze expunerea așteptată pentru un profil temporal de orizonturi de previzionare, care reflectă în mod adecvat structura temporală a fluxurilor de numerar viitoare și scadența contractelor, în mod corespunzător importanței și compoziției expunerilor.</w:t>
            </w:r>
          </w:p>
          <w:p w14:paraId="4AB4FDC0" w14:textId="48346E87" w:rsidR="00236954" w:rsidRPr="00A96E09" w:rsidRDefault="00090866" w:rsidP="00090866">
            <w:pPr>
              <w:pStyle w:val="title-article-norm"/>
              <w:jc w:val="both"/>
              <w:rPr>
                <w:i w:val="0"/>
                <w:sz w:val="18"/>
                <w:szCs w:val="18"/>
                <w:lang w:val="ro-MD"/>
              </w:rPr>
            </w:pPr>
            <w:r w:rsidRPr="00090866">
              <w:rPr>
                <w:i w:val="0"/>
                <w:sz w:val="18"/>
                <w:szCs w:val="18"/>
                <w:lang w:val="ro-MD"/>
              </w:rPr>
              <w:t>(6)   Expunerea se măsoară, se monitorizează și se verifică pe durata tuturor contractelor din setul de compensare și nu doar pe un orizont de un an. Instituția trebuie să dispună de proceduri pentru identificarea și controlul riscurilor asociate contrapărților, dacă expunerea depășește orizontul de un an. Creșterea previzionată a expunerii trebuie să fie o dată de intrare pentru modelul privind capitalul intern al instituției.</w:t>
            </w:r>
          </w:p>
        </w:tc>
        <w:tc>
          <w:tcPr>
            <w:tcW w:w="4356" w:type="dxa"/>
          </w:tcPr>
          <w:p w14:paraId="1EB79D4B" w14:textId="77777777" w:rsidR="00090866" w:rsidRPr="008070DB" w:rsidRDefault="00090866" w:rsidP="00090866">
            <w:pPr>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5-a</w:t>
            </w:r>
          </w:p>
          <w:p w14:paraId="051A0138" w14:textId="77777777" w:rsidR="00090866" w:rsidRPr="008070DB" w:rsidRDefault="00090866" w:rsidP="00090866">
            <w:pPr>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Testul de utilizare</w:t>
            </w:r>
          </w:p>
          <w:p w14:paraId="51AD72F2" w14:textId="359387A5" w:rsidR="00090866" w:rsidRPr="00D80667"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Băncile trebuie să se asigure că distribuția expunerilor generată de modelul utilizat pentru a calcula expunerea pozitivă așteptată efectivă este integrată în procesul zilnic de gestionare a riscului de credit al contrapărții și că rezultatele modelului sunt luate în considerare în procesul de aprobare a creditelor, de gestionare a riscului de credit al contrapărții, de alocare a capitalului intern și în cadrul de administrare.</w:t>
            </w:r>
          </w:p>
          <w:p w14:paraId="061F9133" w14:textId="3CF8990D"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07</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demonstreze în mod satisfăcător Băncii Naționale a Moldovei că a utilizat, timp de cel puțin un an înainte de a primi, în conformitate </w:t>
            </w:r>
            <w:r w:rsidRPr="008070DB">
              <w:rPr>
                <w:color w:val="000000"/>
                <w:sz w:val="18"/>
                <w:szCs w:val="18"/>
                <w:highlight w:val="lightGray"/>
                <w:shd w:val="clear" w:color="auto" w:fill="FFFFFF"/>
                <w:lang w:val="ro-MD" w:eastAsia="ro-MD"/>
              </w:rPr>
              <w:t>cu punctele 158-165,</w:t>
            </w:r>
            <w:r w:rsidRPr="008070DB">
              <w:rPr>
                <w:color w:val="000000"/>
                <w:sz w:val="18"/>
                <w:szCs w:val="18"/>
                <w:shd w:val="clear" w:color="auto" w:fill="FFFFFF"/>
                <w:lang w:val="ro-MD" w:eastAsia="ro-MD"/>
              </w:rPr>
              <w:t xml:space="preserve"> aprobarea Băncii Naționale a Moldovei de a utiliza </w:t>
            </w:r>
            <w:r w:rsidRPr="008070DB">
              <w:rPr>
                <w:sz w:val="18"/>
                <w:szCs w:val="18"/>
                <w:lang w:val="ro-MD" w:eastAsia="ro-MD"/>
              </w:rPr>
              <w:t>metoda modelului intern</w:t>
            </w:r>
            <w:r w:rsidRPr="008070DB">
              <w:rPr>
                <w:color w:val="000000"/>
                <w:sz w:val="18"/>
                <w:szCs w:val="18"/>
                <w:shd w:val="clear" w:color="auto" w:fill="FFFFFF"/>
                <w:lang w:val="ro-MD" w:eastAsia="ro-MD"/>
              </w:rPr>
              <w:t>, un model pentru a calcula distribuția expunerilor pe care se bazează calculul expunerii pozitive așteptate, care îndeplinește, în linii mari, cerințele prevăzute în această secțiune.</w:t>
            </w:r>
          </w:p>
          <w:p w14:paraId="0411F87E" w14:textId="384CD652"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08</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Modelul utilizat pentru a genera o distribuție a expunerilor la riscul de credit al contrapărții trebuie să facă parte integrantă din cadrul de gestionare a riscului de credit al contrapărții solicitat </w:t>
            </w:r>
            <w:r w:rsidRPr="008070DB">
              <w:rPr>
                <w:color w:val="000000"/>
                <w:sz w:val="18"/>
                <w:szCs w:val="18"/>
                <w:highlight w:val="lightGray"/>
                <w:shd w:val="clear" w:color="auto" w:fill="FFFFFF"/>
                <w:lang w:val="ro-MD" w:eastAsia="ro-MD"/>
              </w:rPr>
              <w:t xml:space="preserve">la punctele </w:t>
            </w:r>
            <w:r w:rsidR="00D80667">
              <w:rPr>
                <w:color w:val="000000"/>
                <w:sz w:val="18"/>
                <w:szCs w:val="18"/>
                <w:highlight w:val="lightGray"/>
                <w:shd w:val="clear" w:color="auto" w:fill="FFFFFF"/>
                <w:lang w:val="ro-MD" w:eastAsia="ro-MD"/>
              </w:rPr>
              <w:t>191</w:t>
            </w:r>
            <w:r w:rsidRPr="008070DB">
              <w:rPr>
                <w:color w:val="000000"/>
                <w:sz w:val="18"/>
                <w:szCs w:val="18"/>
                <w:highlight w:val="lightGray"/>
                <w:shd w:val="clear" w:color="auto" w:fill="FFFFFF"/>
                <w:lang w:val="ro-MD" w:eastAsia="ro-MD"/>
              </w:rPr>
              <w:t>-20</w:t>
            </w:r>
            <w:r w:rsidR="00D80667">
              <w:rPr>
                <w:color w:val="000000"/>
                <w:sz w:val="18"/>
                <w:szCs w:val="18"/>
                <w:highlight w:val="lightGray"/>
                <w:shd w:val="clear" w:color="auto" w:fill="FFFFFF"/>
                <w:lang w:val="ro-MD" w:eastAsia="ro-MD"/>
              </w:rPr>
              <w:t>0</w:t>
            </w:r>
            <w:r w:rsidRPr="008070DB">
              <w:rPr>
                <w:color w:val="000000"/>
                <w:sz w:val="18"/>
                <w:szCs w:val="18"/>
                <w:highlight w:val="lightGray"/>
                <w:shd w:val="clear" w:color="auto" w:fill="FFFFFF"/>
                <w:lang w:val="ro-MD" w:eastAsia="ro-MD"/>
              </w:rPr>
              <w:t>.</w:t>
            </w:r>
            <w:r w:rsidRPr="008070DB">
              <w:rPr>
                <w:color w:val="000000"/>
                <w:sz w:val="18"/>
                <w:szCs w:val="18"/>
                <w:shd w:val="clear" w:color="auto" w:fill="FFFFFF"/>
                <w:lang w:val="ro-MD" w:eastAsia="ro-MD"/>
              </w:rPr>
              <w:t xml:space="preserve"> Acest cadru trebuie să includă măsurarea utilizării liniilor de credit, prin agregarea expunerilor la riscul de credit al contrapărții cu alte expuneri din credite și alocarea capitalului intern.</w:t>
            </w:r>
          </w:p>
          <w:p w14:paraId="4076BEA2" w14:textId="567AD7CD"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09</w:t>
            </w:r>
            <w:r w:rsidRPr="008070DB">
              <w:rPr>
                <w:b/>
                <w:bCs/>
                <w:color w:val="000000"/>
                <w:sz w:val="18"/>
                <w:szCs w:val="18"/>
                <w:shd w:val="clear" w:color="auto" w:fill="FFFFFF"/>
                <w:lang w:val="ro-MD" w:eastAsia="ro-MD"/>
              </w:rPr>
              <w:t>.</w:t>
            </w:r>
            <w:r w:rsidRPr="008070DB">
              <w:rPr>
                <w:color w:val="000000"/>
                <w:sz w:val="18"/>
                <w:szCs w:val="18"/>
                <w:shd w:val="clear" w:color="auto" w:fill="FFFFFF"/>
                <w:lang w:val="ro-MD" w:eastAsia="ro-MD"/>
              </w:rPr>
              <w:t xml:space="preserve"> Pe lângă expunerea pozitivă așteptată, banca trebuie să măsoare și să administreze expunerile curente. După caz, banca trebuie să măsoare expunerea curentă brută și netă de garanții reale. Se consideră că testul de utilizare a fost efectuat dacă banca utilizează alte măsurări ale riscului de credit al contrapărții, precum expunerea maximă, bazate pe distribuția expunerilor generată de modelul cu care se calculează expunerea pozitivă așteptată.</w:t>
            </w:r>
          </w:p>
          <w:p w14:paraId="267C23EC" w14:textId="706DB740"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21</w:t>
            </w:r>
            <w:r w:rsidR="00D80667">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dispună de sisteme care pot estima zilnic expunerea așteptată, dacă este necesar, cu excepția cazului în care demonstrează în mod satisfăcător Banca Națională a Moldovei că expunerile sale la riscul de credit al contrapărții justifică o frecvență a calculului mai mică. Banca trebuie să estimeze expunerea așteptată pentru un </w:t>
            </w:r>
            <w:r w:rsidRPr="008070DB">
              <w:rPr>
                <w:color w:val="000000"/>
                <w:sz w:val="18"/>
                <w:szCs w:val="18"/>
                <w:shd w:val="clear" w:color="auto" w:fill="FFFFFF"/>
                <w:lang w:val="ro-MD" w:eastAsia="ro-MD"/>
              </w:rPr>
              <w:lastRenderedPageBreak/>
              <w:t>profil temporal de orizonturi de previzionare, care reflectă în mod adecvat structura temporală a fluxurilor de numerar viitoare și scadența contractelor, în mod corespunzător importanței și compoziției expunerilor.</w:t>
            </w:r>
          </w:p>
          <w:p w14:paraId="037ACAC3" w14:textId="14FFE89B"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D80667">
              <w:rPr>
                <w:b/>
                <w:bCs/>
                <w:color w:val="000000"/>
                <w:sz w:val="18"/>
                <w:szCs w:val="18"/>
                <w:shd w:val="clear" w:color="auto" w:fill="FFFFFF"/>
                <w:lang w:val="ro-MD" w:eastAsia="ro-MD"/>
              </w:rPr>
              <w:t>11</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Expunerea se măsoară, se monitorizează și se verifică pe durata tuturor contractelor din setul de compensare și nu doar pe un orizont de un an. Banca trebuie să dispună de proceduri pentru identificarea și controlul riscurilor asociate contrapărților, dacă expunerea depășește orizontul de un an. Creșterea previzionată a expunerii trebuie să fie o dată de intrare pentru modelul privind capitalul intern al băncii.</w:t>
            </w:r>
          </w:p>
          <w:p w14:paraId="11EE965E" w14:textId="77777777" w:rsidR="00236954" w:rsidRPr="008070DB" w:rsidRDefault="00236954"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1120B2CA"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42785803"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1888DE3B"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19DD5E26"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0EA5108B"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3C07A650"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42551CF0"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098E0460"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4C828933" w14:textId="77777777"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1C77927B" w14:textId="46D63488" w:rsidR="00090866"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323B4975" w14:textId="0CC500E9" w:rsidR="00236954" w:rsidRPr="00A96E09" w:rsidRDefault="00090866" w:rsidP="00236954">
            <w:pPr>
              <w:jc w:val="both"/>
              <w:rPr>
                <w:sz w:val="18"/>
                <w:szCs w:val="18"/>
                <w:lang w:val="ro-MD"/>
              </w:rPr>
            </w:pPr>
            <w:r>
              <w:rPr>
                <w:sz w:val="18"/>
                <w:szCs w:val="18"/>
                <w:lang w:val="ro-MD"/>
              </w:rPr>
              <w:lastRenderedPageBreak/>
              <w:t>Comptabil</w:t>
            </w:r>
          </w:p>
        </w:tc>
        <w:tc>
          <w:tcPr>
            <w:tcW w:w="4683" w:type="dxa"/>
            <w:tcBorders>
              <w:top w:val="single" w:sz="4" w:space="0" w:color="auto"/>
              <w:bottom w:val="single" w:sz="4" w:space="0" w:color="auto"/>
            </w:tcBorders>
          </w:tcPr>
          <w:p w14:paraId="277DE000" w14:textId="77777777" w:rsidR="00236954" w:rsidRPr="00A96E09" w:rsidRDefault="00236954" w:rsidP="00236954">
            <w:pPr>
              <w:rPr>
                <w:sz w:val="18"/>
                <w:szCs w:val="18"/>
                <w:lang w:val="ro-MD"/>
              </w:rPr>
            </w:pPr>
          </w:p>
        </w:tc>
      </w:tr>
      <w:tr w:rsidR="00236954" w:rsidRPr="007C0793" w14:paraId="32407393" w14:textId="77777777" w:rsidTr="00C14AF6">
        <w:trPr>
          <w:trHeight w:val="918"/>
        </w:trPr>
        <w:tc>
          <w:tcPr>
            <w:tcW w:w="3866" w:type="dxa"/>
          </w:tcPr>
          <w:p w14:paraId="4A60BE21" w14:textId="44ECE37E" w:rsidR="00090866" w:rsidRPr="00090866" w:rsidRDefault="00090866" w:rsidP="00CF1AD1">
            <w:pPr>
              <w:pStyle w:val="title-article-norm"/>
              <w:jc w:val="left"/>
              <w:rPr>
                <w:b/>
                <w:bCs/>
                <w:iCs w:val="0"/>
                <w:sz w:val="18"/>
                <w:szCs w:val="18"/>
                <w:lang w:val="ro-MD"/>
              </w:rPr>
            </w:pPr>
            <w:r w:rsidRPr="00090866">
              <w:rPr>
                <w:iCs w:val="0"/>
                <w:sz w:val="18"/>
                <w:szCs w:val="18"/>
                <w:lang w:val="ro-MD"/>
              </w:rPr>
              <w:t>Articolul 290</w:t>
            </w:r>
            <w:r w:rsidRPr="00090866">
              <w:rPr>
                <w:b/>
                <w:bCs/>
                <w:iCs w:val="0"/>
                <w:sz w:val="18"/>
                <w:szCs w:val="18"/>
                <w:lang w:val="ro-MD"/>
              </w:rPr>
              <w:t xml:space="preserve"> Simularea de criză</w:t>
            </w:r>
          </w:p>
          <w:p w14:paraId="2C227F9B" w14:textId="77777777" w:rsidR="00090866" w:rsidRPr="00090866" w:rsidRDefault="00090866" w:rsidP="00CF1AD1">
            <w:pPr>
              <w:pStyle w:val="title-article-norm"/>
              <w:jc w:val="left"/>
              <w:rPr>
                <w:i w:val="0"/>
                <w:sz w:val="18"/>
                <w:szCs w:val="18"/>
                <w:lang w:val="ro-MD"/>
              </w:rPr>
            </w:pPr>
            <w:r w:rsidRPr="00090866">
              <w:rPr>
                <w:i w:val="0"/>
                <w:sz w:val="18"/>
                <w:szCs w:val="18"/>
                <w:lang w:val="ro-MD"/>
              </w:rPr>
              <w:t>(1)   O instituție trebuie să dispună de un amplu program de simulări de criză pentru riscul de credit al contrapărții, care să fie utilizat și la evaluarea cerințelor de fonduri proprii pentru riscul de credit al contrapărții și să respecte cerințele stabilite la alineatele (2)-(10).</w:t>
            </w:r>
          </w:p>
          <w:p w14:paraId="428637E6" w14:textId="77777777" w:rsidR="00090866" w:rsidRPr="00090866" w:rsidRDefault="00090866" w:rsidP="00CF1AD1">
            <w:pPr>
              <w:pStyle w:val="title-article-norm"/>
              <w:jc w:val="left"/>
              <w:rPr>
                <w:i w:val="0"/>
                <w:sz w:val="18"/>
                <w:szCs w:val="18"/>
                <w:lang w:val="ro-MD"/>
              </w:rPr>
            </w:pPr>
            <w:r w:rsidRPr="00090866">
              <w:rPr>
                <w:i w:val="0"/>
                <w:sz w:val="18"/>
                <w:szCs w:val="18"/>
                <w:lang w:val="ro-MD"/>
              </w:rPr>
              <w:t xml:space="preserve">(2)   Simularea de criză identifică evenimentele posibile sau modificările viitoare ale condițiilor </w:t>
            </w:r>
            <w:r w:rsidRPr="00090866">
              <w:rPr>
                <w:i w:val="0"/>
                <w:sz w:val="18"/>
                <w:szCs w:val="18"/>
                <w:lang w:val="ro-MD"/>
              </w:rPr>
              <w:lastRenderedPageBreak/>
              <w:t>economice, care ar putea avea efecte nefavorabile asupra expunerilor din credite ale unei instituții, și evaluează capacitatea acesteia de a face față modificărilor respective.</w:t>
            </w:r>
          </w:p>
          <w:p w14:paraId="321B3D2F" w14:textId="77777777" w:rsidR="00090866" w:rsidRPr="00090866" w:rsidRDefault="00090866" w:rsidP="00CF1AD1">
            <w:pPr>
              <w:pStyle w:val="title-article-norm"/>
              <w:jc w:val="left"/>
              <w:rPr>
                <w:i w:val="0"/>
                <w:sz w:val="18"/>
                <w:szCs w:val="18"/>
                <w:lang w:val="ro-MD"/>
              </w:rPr>
            </w:pPr>
            <w:r w:rsidRPr="00090866">
              <w:rPr>
                <w:i w:val="0"/>
                <w:sz w:val="18"/>
                <w:szCs w:val="18"/>
                <w:lang w:val="ro-MD"/>
              </w:rPr>
              <w:t>(3)   Rezultatele obținute în urma simulărilor de criză din cadrul programului trebuie comparate cu limitele de risc și trebuie considerate de instituție ca făcând parte din procesul prevăzut la articolul 81 din Directiva 2013/36/UE.</w:t>
            </w:r>
          </w:p>
          <w:p w14:paraId="5A070A9D" w14:textId="77777777" w:rsidR="00090866" w:rsidRPr="00090866" w:rsidRDefault="00090866" w:rsidP="00CF1AD1">
            <w:pPr>
              <w:pStyle w:val="title-article-norm"/>
              <w:jc w:val="left"/>
              <w:rPr>
                <w:i w:val="0"/>
                <w:sz w:val="18"/>
                <w:szCs w:val="18"/>
                <w:lang w:val="ro-MD"/>
              </w:rPr>
            </w:pPr>
            <w:r w:rsidRPr="00090866">
              <w:rPr>
                <w:i w:val="0"/>
                <w:sz w:val="18"/>
                <w:szCs w:val="18"/>
                <w:lang w:val="ro-MD"/>
              </w:rPr>
              <w:t>(4)   Programul trebuie să cuprindă integral tranzacțiile și expunerile agregate pentru toate formele de risc de credit al contrapărții la nivelul unor contrapărți specifice, într-o perioadă suficientă pentru a efectua simulări de criză periodice.</w:t>
            </w:r>
          </w:p>
          <w:p w14:paraId="5B2F215E" w14:textId="77777777" w:rsidR="00090866" w:rsidRPr="00090866" w:rsidRDefault="00090866" w:rsidP="00CF1AD1">
            <w:pPr>
              <w:pStyle w:val="title-article-norm"/>
              <w:jc w:val="left"/>
              <w:rPr>
                <w:i w:val="0"/>
                <w:sz w:val="18"/>
                <w:szCs w:val="18"/>
                <w:lang w:val="ro-MD"/>
              </w:rPr>
            </w:pPr>
            <w:r w:rsidRPr="00090866">
              <w:rPr>
                <w:i w:val="0"/>
                <w:sz w:val="18"/>
                <w:szCs w:val="18"/>
                <w:lang w:val="ro-MD"/>
              </w:rPr>
              <w:t>(5)   Programul trebuie să prevadă pentru expuneri simulări de criză cel puțin lunare, referitoare la factorii de risc de piață principali, cum ar fi ratele dobânzii, cursurile de schimb, titlurile de capital, marjele de credit și prețurile mărfurilor, pentru toate contrapărțile instituției, pentru a identifica concentrările prea mari de riscuri direcționale specifice și a permite reducerea acestora de către instituție, dacă este necesar. Simularea de criză pentru expuneri, incluzând riscurile unifactoriale, multifactoriale și riscurile nedirecționale semnificative, precum și simularea de criză concomitentă pentru expuneri și bonitate trebuie efectuată, în ceea ce privește riscul de credit al contrapărții, la nivelul unei contrapărți, al unui grup de contrapărți și, în mod agregat, la nivelul instituției.</w:t>
            </w:r>
          </w:p>
          <w:p w14:paraId="3A200869" w14:textId="77777777" w:rsidR="00090866" w:rsidRPr="00090866" w:rsidRDefault="00090866" w:rsidP="00CF1AD1">
            <w:pPr>
              <w:pStyle w:val="title-article-norm"/>
              <w:jc w:val="left"/>
              <w:rPr>
                <w:i w:val="0"/>
                <w:sz w:val="18"/>
                <w:szCs w:val="18"/>
                <w:lang w:val="ro-MD"/>
              </w:rPr>
            </w:pPr>
            <w:r w:rsidRPr="00090866">
              <w:rPr>
                <w:i w:val="0"/>
                <w:sz w:val="18"/>
                <w:szCs w:val="18"/>
                <w:lang w:val="ro-MD"/>
              </w:rPr>
              <w:t xml:space="preserve">(6)   Programul trebuie să aplice cel puțin trimestrial scenarii de simulare de criză multifactorială și să evalueze riscurile nedirecționale semnificative, inclusiv expunerea </w:t>
            </w:r>
            <w:r w:rsidRPr="00090866">
              <w:rPr>
                <w:i w:val="0"/>
                <w:sz w:val="18"/>
                <w:szCs w:val="18"/>
                <w:lang w:val="ro-MD"/>
              </w:rPr>
              <w:lastRenderedPageBreak/>
              <w:t>la curba de randament și riscul de bază. Simulările de criză multifactoriale trebuie să abordeze cel puțin următoarele scenarii în care:</w:t>
            </w:r>
          </w:p>
          <w:p w14:paraId="754ACC80" w14:textId="76879160" w:rsidR="00090866" w:rsidRPr="00090866" w:rsidRDefault="00090866" w:rsidP="00CF1AD1">
            <w:pPr>
              <w:pStyle w:val="title-article-norm"/>
              <w:jc w:val="left"/>
              <w:rPr>
                <w:i w:val="0"/>
                <w:sz w:val="18"/>
                <w:szCs w:val="18"/>
                <w:lang w:val="ro-MD"/>
              </w:rPr>
            </w:pPr>
            <w:r w:rsidRPr="00090866">
              <w:rPr>
                <w:i w:val="0"/>
                <w:sz w:val="18"/>
                <w:szCs w:val="18"/>
                <w:lang w:val="ro-MD"/>
              </w:rPr>
              <w:t>(a) au avut loc evenimente economice sau de piață severe;</w:t>
            </w:r>
          </w:p>
          <w:p w14:paraId="606718BF" w14:textId="7F6DA69F" w:rsidR="00090866" w:rsidRPr="00090866" w:rsidRDefault="00090866" w:rsidP="00CF1AD1">
            <w:pPr>
              <w:pStyle w:val="title-article-norm"/>
              <w:jc w:val="left"/>
              <w:rPr>
                <w:i w:val="0"/>
                <w:sz w:val="18"/>
                <w:szCs w:val="18"/>
                <w:lang w:val="ro-MD"/>
              </w:rPr>
            </w:pPr>
            <w:r w:rsidRPr="00090866">
              <w:rPr>
                <w:i w:val="0"/>
                <w:sz w:val="18"/>
                <w:szCs w:val="18"/>
                <w:lang w:val="ro-MD"/>
              </w:rPr>
              <w:t>(b)</w:t>
            </w:r>
            <w:r w:rsidR="00CF1AD1">
              <w:rPr>
                <w:i w:val="0"/>
                <w:sz w:val="18"/>
                <w:szCs w:val="18"/>
                <w:lang w:val="ro-MD"/>
              </w:rPr>
              <w:t xml:space="preserve"> </w:t>
            </w:r>
            <w:r w:rsidRPr="00090866">
              <w:rPr>
                <w:i w:val="0"/>
                <w:sz w:val="18"/>
                <w:szCs w:val="18"/>
                <w:lang w:val="ro-MD"/>
              </w:rPr>
              <w:t>lichiditatea globală pe piață a scăzut în mod semnificativ;</w:t>
            </w:r>
          </w:p>
          <w:p w14:paraId="16E0EBD2" w14:textId="04821C96" w:rsidR="00090866" w:rsidRPr="00090866" w:rsidRDefault="00090866" w:rsidP="00CF1AD1">
            <w:pPr>
              <w:pStyle w:val="title-article-norm"/>
              <w:jc w:val="left"/>
              <w:rPr>
                <w:i w:val="0"/>
                <w:sz w:val="18"/>
                <w:szCs w:val="18"/>
                <w:lang w:val="ro-MD"/>
              </w:rPr>
            </w:pPr>
            <w:r w:rsidRPr="00090866">
              <w:rPr>
                <w:i w:val="0"/>
                <w:sz w:val="18"/>
                <w:szCs w:val="18"/>
                <w:lang w:val="ro-MD"/>
              </w:rPr>
              <w:t>(c)</w:t>
            </w:r>
            <w:r w:rsidR="00CF1AD1">
              <w:rPr>
                <w:i w:val="0"/>
                <w:sz w:val="18"/>
                <w:szCs w:val="18"/>
                <w:lang w:val="ro-MD"/>
              </w:rPr>
              <w:t xml:space="preserve"> </w:t>
            </w:r>
            <w:r w:rsidRPr="00090866">
              <w:rPr>
                <w:i w:val="0"/>
                <w:sz w:val="18"/>
                <w:szCs w:val="18"/>
                <w:lang w:val="ro-MD"/>
              </w:rPr>
              <w:t>un mare intermediar financiar lichidează poziții.</w:t>
            </w:r>
          </w:p>
          <w:p w14:paraId="647552EE" w14:textId="77777777" w:rsidR="00090866" w:rsidRPr="00090866" w:rsidRDefault="00090866" w:rsidP="00CF1AD1">
            <w:pPr>
              <w:pStyle w:val="title-article-norm"/>
              <w:jc w:val="left"/>
              <w:rPr>
                <w:i w:val="0"/>
                <w:sz w:val="18"/>
                <w:szCs w:val="18"/>
                <w:lang w:val="ro-MD"/>
              </w:rPr>
            </w:pPr>
            <w:r w:rsidRPr="00090866">
              <w:rPr>
                <w:i w:val="0"/>
                <w:sz w:val="18"/>
                <w:szCs w:val="18"/>
                <w:lang w:val="ro-MD"/>
              </w:rPr>
              <w:t>(7)   Severitatea șocurilor asupra factorilor de risc-suport trebuie să corespundă scopului simulării de criză. La evaluarea solvabilității în condiții de criză, șocurile asupra factorilor de risc-suport trebuie să fie suficient de severe pentru a surprinde contexte de piață extreme, înregistrate în trecut, și condiții de piață extreme, dar plauzibile. Simulările de criză trebuie să evalueze impactul acestor șocuri asupra fondurilor proprii, asupra cerințelor de fonduri proprii și asupra câștigurilor. În scopul monitorizării zilnice a portofoliului, al acoperirii zilnice a riscurilor și al administrării zilnice a concentrărilor, programul de simulare de criză trebuie să cuprindă și scenarii mai puțin severe, dar cu probabilitate mai mare.</w:t>
            </w:r>
          </w:p>
          <w:p w14:paraId="03FB5FC3" w14:textId="77777777" w:rsidR="00090866" w:rsidRPr="00090866" w:rsidRDefault="00090866" w:rsidP="00CF1AD1">
            <w:pPr>
              <w:pStyle w:val="title-article-norm"/>
              <w:jc w:val="left"/>
              <w:rPr>
                <w:i w:val="0"/>
                <w:sz w:val="18"/>
                <w:szCs w:val="18"/>
                <w:lang w:val="ro-MD"/>
              </w:rPr>
            </w:pPr>
            <w:r w:rsidRPr="00090866">
              <w:rPr>
                <w:i w:val="0"/>
                <w:sz w:val="18"/>
                <w:szCs w:val="18"/>
                <w:lang w:val="ro-MD"/>
              </w:rPr>
              <w:t>(8)   Programul trebuie să includă, după caz, simulări de criză în sens invers (reverse stress tests) pentru a identifica scenarii extreme dar plauzibile, care ar putea avea efecte adverse semnificative. Simulările de criză în sens invers trebuie să țină seama de impactul neliniarității semnificative din portofoliu.</w:t>
            </w:r>
          </w:p>
          <w:p w14:paraId="5D957383" w14:textId="77777777" w:rsidR="00090866" w:rsidRPr="00090866" w:rsidRDefault="00090866" w:rsidP="00CF1AD1">
            <w:pPr>
              <w:pStyle w:val="title-article-norm"/>
              <w:jc w:val="left"/>
              <w:rPr>
                <w:i w:val="0"/>
                <w:sz w:val="18"/>
                <w:szCs w:val="18"/>
                <w:lang w:val="ro-MD"/>
              </w:rPr>
            </w:pPr>
            <w:r w:rsidRPr="00090866">
              <w:rPr>
                <w:i w:val="0"/>
                <w:sz w:val="18"/>
                <w:szCs w:val="18"/>
                <w:lang w:val="ro-MD"/>
              </w:rPr>
              <w:t xml:space="preserve">(9)   Rezultatele simulărilor de criză efectuate în cadrul programului trebuie raportate conducerii </w:t>
            </w:r>
            <w:r w:rsidRPr="00090866">
              <w:rPr>
                <w:i w:val="0"/>
                <w:sz w:val="18"/>
                <w:szCs w:val="18"/>
                <w:lang w:val="ro-MD"/>
              </w:rPr>
              <w:lastRenderedPageBreak/>
              <w:t>superioare cu regularitate, cel puțin trimestrial. Rapoartele și analiza rezultatelor trebuie să acopere cel mai mare impact din portofoliu la nivel de contraparte, concentrările semnificative din segmentele portofoliului (în cadrul aceluiași sector industrial sau al aceleiași regiuni) și tendințele specifice relevante la nivel de portofoliu și de contraparte.</w:t>
            </w:r>
          </w:p>
          <w:p w14:paraId="27019E1B" w14:textId="497D40DB" w:rsidR="00236954" w:rsidRPr="00A96E09" w:rsidRDefault="00090866" w:rsidP="00CF1AD1">
            <w:pPr>
              <w:pStyle w:val="title-article-norm"/>
              <w:jc w:val="left"/>
              <w:rPr>
                <w:i w:val="0"/>
                <w:sz w:val="18"/>
                <w:szCs w:val="18"/>
                <w:lang w:val="ro-MD"/>
              </w:rPr>
            </w:pPr>
            <w:r w:rsidRPr="00090866">
              <w:rPr>
                <w:i w:val="0"/>
                <w:sz w:val="18"/>
                <w:szCs w:val="18"/>
                <w:lang w:val="ro-MD"/>
              </w:rPr>
              <w:t>(10)   Conducerea superioară trebuie să-și asume rolul principal în integrarea simulărilor de criză în cadrul de gestionare a riscurilor și în cultura riscului a instituției și să se asigure că rezultatele sunt semnificative și sunt utilizate pentru a administra riscul de credit al contrapărții. Rezultatele simulărilor de criză pentru expunerile semnificative trebuie evaluate în raport cu orientările care indică apetitul pentru risc al instituției și trebuie prezentate conducerii superioare pentru dezbatere și luare de măsuri atunci când sunt identificate riscuri excesive sau concentrate.</w:t>
            </w:r>
          </w:p>
        </w:tc>
        <w:tc>
          <w:tcPr>
            <w:tcW w:w="4356" w:type="dxa"/>
          </w:tcPr>
          <w:p w14:paraId="695485C7" w14:textId="77777777" w:rsidR="00090866" w:rsidRPr="008070DB" w:rsidRDefault="00090866" w:rsidP="00090866">
            <w:pPr>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6-a</w:t>
            </w:r>
          </w:p>
          <w:p w14:paraId="6A9D0D9D" w14:textId="77777777" w:rsidR="00090866" w:rsidRPr="008070DB" w:rsidRDefault="00090866" w:rsidP="00090866">
            <w:pPr>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Simularea de criză</w:t>
            </w:r>
          </w:p>
          <w:p w14:paraId="26203693" w14:textId="39F30174"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21</w:t>
            </w:r>
            <w:r w:rsidR="00D80667">
              <w:rPr>
                <w:b/>
                <w:bCs/>
                <w:color w:val="000000"/>
                <w:sz w:val="18"/>
                <w:szCs w:val="18"/>
                <w:shd w:val="clear" w:color="auto" w:fill="FFFFFF"/>
                <w:lang w:val="ro-MD" w:eastAsia="ro-MD"/>
              </w:rPr>
              <w:t>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dispună de un amplu program de simulări de criză pentru riscul de credit al contrapărții, care să fie utilizat și la evaluarea cerințelor de fonduri proprii pentru riscul de credit al contrapărții și să respecte cerințele stabilite la </w:t>
            </w:r>
            <w:r w:rsidRPr="008070DB">
              <w:rPr>
                <w:color w:val="000000"/>
                <w:sz w:val="18"/>
                <w:szCs w:val="18"/>
                <w:highlight w:val="lightGray"/>
                <w:shd w:val="clear" w:color="auto" w:fill="FFFFFF"/>
                <w:lang w:val="ro-MD" w:eastAsia="ro-MD"/>
              </w:rPr>
              <w:t>punctele 2</w:t>
            </w:r>
            <w:r w:rsidR="00D80667">
              <w:rPr>
                <w:color w:val="000000"/>
                <w:sz w:val="18"/>
                <w:szCs w:val="18"/>
                <w:highlight w:val="lightGray"/>
                <w:shd w:val="clear" w:color="auto" w:fill="FFFFFF"/>
                <w:lang w:val="ro-MD" w:eastAsia="ro-MD"/>
              </w:rPr>
              <w:t>13</w:t>
            </w:r>
            <w:r w:rsidRPr="008070DB">
              <w:rPr>
                <w:color w:val="000000"/>
                <w:sz w:val="18"/>
                <w:szCs w:val="18"/>
                <w:highlight w:val="lightGray"/>
                <w:shd w:val="clear" w:color="auto" w:fill="FFFFFF"/>
                <w:lang w:val="ro-MD" w:eastAsia="ro-MD"/>
              </w:rPr>
              <w:t>-2</w:t>
            </w:r>
            <w:r w:rsidR="00D80667">
              <w:rPr>
                <w:color w:val="000000"/>
                <w:sz w:val="18"/>
                <w:szCs w:val="18"/>
                <w:highlight w:val="lightGray"/>
                <w:shd w:val="clear" w:color="auto" w:fill="FFFFFF"/>
                <w:lang w:val="ro-MD" w:eastAsia="ro-MD"/>
              </w:rPr>
              <w:t>21</w:t>
            </w:r>
            <w:r w:rsidRPr="008070DB">
              <w:rPr>
                <w:color w:val="000000"/>
                <w:sz w:val="18"/>
                <w:szCs w:val="18"/>
                <w:highlight w:val="lightGray"/>
                <w:shd w:val="clear" w:color="auto" w:fill="FFFFFF"/>
                <w:lang w:val="ro-MD" w:eastAsia="ro-MD"/>
              </w:rPr>
              <w:t>.</w:t>
            </w:r>
          </w:p>
          <w:p w14:paraId="3CDA6684" w14:textId="2FE009C1"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13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Simularea de criză identifică evenimentele posibile sau modificările viitoare ale condițiilor economice, care ar putea avea efecte nefavorabile asupra expunerilor din credite ale unei bănci, și evaluează capacitatea acesteia de a face față modificărilor respective.</w:t>
            </w:r>
          </w:p>
          <w:p w14:paraId="219BA9E0" w14:textId="2BED53C4" w:rsidR="00090866" w:rsidRPr="008070DB" w:rsidRDefault="00090866" w:rsidP="00090866">
            <w:pPr>
              <w:spacing w:line="259" w:lineRule="auto"/>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lastRenderedPageBreak/>
              <w:t>2</w:t>
            </w:r>
            <w:r w:rsidR="00CF39ED">
              <w:rPr>
                <w:b/>
                <w:bCs/>
                <w:color w:val="000000"/>
                <w:sz w:val="18"/>
                <w:szCs w:val="18"/>
                <w:shd w:val="clear" w:color="auto" w:fill="FFFFFF"/>
                <w:lang w:val="ro-MD" w:eastAsia="ro-MD"/>
              </w:rPr>
              <w:t>14</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Rezultatele obținute în urma simulărilor de criză din cadrul programului trebuie comparate cu limitele de risc și trebuie considerate de bancă ca făcând parte din procesul prevăzut conform prevederilor Regulamentului privind cadrul de administrare a activității băncilor, aprobat prin Hotărârea Comitetului executiv al Băncii Naţionale a Moldovei nr.322/2018.</w:t>
            </w:r>
          </w:p>
          <w:p w14:paraId="6BD0BAA2" w14:textId="2CA52605"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15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Programul trebuie să cuprindă integral tranzacțiile și expunerile agregate pentru toate formele de risc de credit al contrapărții la nivelul unor contrapărți specifice, într-o perioadă suficientă pentru a efectua simulări de criză periodice.</w:t>
            </w:r>
          </w:p>
          <w:p w14:paraId="4194C4E6" w14:textId="048BC24F"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16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Programul trebuie să prevadă pentru expuneri simulări de criză cel puțin lunare, referitoare la factorii de risc de piață principali, cum ar fi ratele dobânzii, cursurile de schimb, titlurile de capital, marjele de credit și prețurile mărfurilor, pentru toate contrapărțile băncii, pentru a identifica concentrările prea mari de riscuri direcționale specifice și a permite reducerea acestora de către bancă, dacă este necesar. Simularea de criză pentru expuneri, incluzând riscurile unifactoriale, multifactoriale și riscurile nedirecționale semnificative, precum și simularea de criză concomitentă pentru expuneri și bonitate trebuie efectuată, în ceea ce privește riscul de credit al contrapărții, la nivelul unei contrapărți, al unui grup de contrapărți și, în mod agregat, la nivelul băncii.</w:t>
            </w:r>
          </w:p>
          <w:p w14:paraId="035282B3" w14:textId="04B174D0"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17</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Programul trebuie să aplice cel puțin trimestrial scenarii de simulare de criză multifactorială și să evalueze riscurile nedirecționale semnificative, inclusiv expunerea la curba de randament și riscul de bază. Simulările de criză multifactoriale trebuie să abordeze cel puțin următoarele scenarii în care:</w:t>
            </w:r>
          </w:p>
          <w:p w14:paraId="0F6CCA06" w14:textId="305148F2" w:rsidR="00090866" w:rsidRPr="008070DB" w:rsidRDefault="00090866" w:rsidP="00090866">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17</w:t>
            </w:r>
            <w:r w:rsidRPr="008070DB">
              <w:rPr>
                <w:color w:val="000000"/>
                <w:sz w:val="18"/>
                <w:szCs w:val="18"/>
                <w:shd w:val="clear" w:color="auto" w:fill="FFFFFF"/>
                <w:lang w:val="ro-MD" w:eastAsia="ro-MD"/>
              </w:rPr>
              <w:t>.1. au avut loc evenimente economice sau de piață severe;</w:t>
            </w:r>
          </w:p>
          <w:p w14:paraId="5B8EF61D" w14:textId="012A2A5D" w:rsidR="00090866" w:rsidRPr="008070DB" w:rsidRDefault="00090866" w:rsidP="00090866">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17</w:t>
            </w:r>
            <w:r w:rsidRPr="008070DB">
              <w:rPr>
                <w:color w:val="000000"/>
                <w:sz w:val="18"/>
                <w:szCs w:val="18"/>
                <w:shd w:val="clear" w:color="auto" w:fill="FFFFFF"/>
                <w:lang w:val="ro-MD" w:eastAsia="ro-MD"/>
              </w:rPr>
              <w:t>.2. lichiditatea globală pe piață a scăzut în mod semnificativ;</w:t>
            </w:r>
          </w:p>
          <w:p w14:paraId="16848E47" w14:textId="207F5B71" w:rsidR="00090866" w:rsidRPr="008070DB" w:rsidRDefault="00090866" w:rsidP="00090866">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17</w:t>
            </w:r>
            <w:r w:rsidRPr="008070DB">
              <w:rPr>
                <w:color w:val="000000"/>
                <w:sz w:val="18"/>
                <w:szCs w:val="18"/>
                <w:shd w:val="clear" w:color="auto" w:fill="FFFFFF"/>
                <w:lang w:val="ro-MD" w:eastAsia="ro-MD"/>
              </w:rPr>
              <w:t>.3. un mare intermediar financiar lichidează poziții.</w:t>
            </w:r>
          </w:p>
          <w:p w14:paraId="7653082A" w14:textId="02F5400A"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18</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Severitatea șocurilor asupra factorilor de risc-suport trebuie să corespundă scopului simulării de criză. La evaluarea solvabilității în condiții de criză, șocurile asupra </w:t>
            </w:r>
            <w:r w:rsidRPr="008070DB">
              <w:rPr>
                <w:color w:val="000000"/>
                <w:sz w:val="18"/>
                <w:szCs w:val="18"/>
                <w:shd w:val="clear" w:color="auto" w:fill="FFFFFF"/>
                <w:lang w:val="ro-MD" w:eastAsia="ro-MD"/>
              </w:rPr>
              <w:lastRenderedPageBreak/>
              <w:t>factorilor de risc-suport trebuie să fie suficient de severe pentru a surprinde contexte de piață extreme, înregistrate în trecut, și condiții de piață extreme, dar plauzibile. Simulările de criză trebuie să evalueze impactul acestor șocuri asupra fondurilor proprii, asupra cerințelor de fonduri proprii și asupra câștigurilor. În scopul monitorizării zilnice a portofoliului, al acoperirii zilnice a riscurilor și al administrării zilnice a concentrărilor, programul de simulare de criză trebuie să cuprindă și scenarii mai puțin severe, dar cu probabilitate mai mare.</w:t>
            </w:r>
          </w:p>
          <w:p w14:paraId="6A6D334F" w14:textId="27EE3D9B"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19</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Programul trebuie să includă, după caz, simulări de criză în sens invers (reverse stress tests) pentru a identifica scenarii extreme dar plauzibile, care ar putea avea efecte adverse semnificative. Simulările de criză în sens invers trebuie să țină seama de impactul neliniarității semnificative din portofoliu.</w:t>
            </w:r>
          </w:p>
          <w:p w14:paraId="7A5647DF" w14:textId="71C9D1BD" w:rsidR="00090866" w:rsidRPr="008070DB" w:rsidRDefault="00090866" w:rsidP="00090866">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22</w:t>
            </w:r>
            <w:r w:rsidR="00CF39ED">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Rezultatele simulărilor de criză efectuate în cadrul programului trebuie raportate </w:t>
            </w:r>
            <w:r w:rsidR="005507F9" w:rsidRPr="008070DB">
              <w:rPr>
                <w:color w:val="000000"/>
                <w:sz w:val="18"/>
                <w:szCs w:val="18"/>
                <w:shd w:val="clear" w:color="auto" w:fill="FFFFFF"/>
                <w:lang w:val="ro-MD" w:eastAsia="ro-MD"/>
              </w:rPr>
              <w:t xml:space="preserve"> </w:t>
            </w:r>
            <w:r w:rsidR="005507F9">
              <w:rPr>
                <w:color w:val="000000"/>
                <w:sz w:val="18"/>
                <w:szCs w:val="18"/>
                <w:shd w:val="clear" w:color="auto" w:fill="FFFFFF"/>
                <w:lang w:val="ro-MD" w:eastAsia="ro-MD"/>
              </w:rPr>
              <w:t>o</w:t>
            </w:r>
            <w:r w:rsidR="005507F9" w:rsidRPr="008070DB">
              <w:rPr>
                <w:color w:val="000000"/>
                <w:sz w:val="18"/>
                <w:szCs w:val="18"/>
                <w:shd w:val="clear" w:color="auto" w:fill="FFFFFF"/>
                <w:lang w:val="ro-MD" w:eastAsia="ro-MD"/>
              </w:rPr>
              <w:t>rganul</w:t>
            </w:r>
            <w:r w:rsidR="005507F9">
              <w:rPr>
                <w:color w:val="000000"/>
                <w:sz w:val="18"/>
                <w:szCs w:val="18"/>
                <w:shd w:val="clear" w:color="auto" w:fill="FFFFFF"/>
                <w:lang w:val="ro-MD" w:eastAsia="ro-MD"/>
              </w:rPr>
              <w:t>ui</w:t>
            </w:r>
            <w:r w:rsidR="005507F9" w:rsidRPr="008070DB">
              <w:rPr>
                <w:color w:val="000000"/>
                <w:sz w:val="18"/>
                <w:szCs w:val="18"/>
                <w:shd w:val="clear" w:color="auto" w:fill="FFFFFF"/>
                <w:lang w:val="ro-MD" w:eastAsia="ro-MD"/>
              </w:rPr>
              <w:t xml:space="preserve"> de conducere </w:t>
            </w:r>
            <w:r w:rsidRPr="008070DB">
              <w:rPr>
                <w:color w:val="000000"/>
                <w:sz w:val="18"/>
                <w:szCs w:val="18"/>
                <w:shd w:val="clear" w:color="auto" w:fill="FFFFFF"/>
                <w:lang w:val="ro-MD" w:eastAsia="ro-MD"/>
              </w:rPr>
              <w:t>cu regularitate, cel puțin trimestrial. Rapoartele și analiza rezultatelor trebuie să acopere cel mai mare impact din portofoliu la nivel de contraparte, concentrările semnificative din segmentele portofoliului (în cadrul aceluiași sector industrial sau al aceleiași regiuni) și tendințele specifice relevante la nivel de portofoliu și de contraparte.</w:t>
            </w:r>
          </w:p>
          <w:p w14:paraId="5B101E9C" w14:textId="6CDE8376" w:rsidR="00090866" w:rsidRPr="008070DB" w:rsidRDefault="00090866" w:rsidP="00090866">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21</w:t>
            </w:r>
            <w:r w:rsidRPr="008070DB">
              <w:rPr>
                <w:b/>
                <w:bCs/>
                <w:color w:val="000000"/>
                <w:sz w:val="18"/>
                <w:szCs w:val="18"/>
                <w:shd w:val="clear" w:color="auto" w:fill="FFFFFF"/>
                <w:lang w:val="ro-MD" w:eastAsia="ro-MD"/>
              </w:rPr>
              <w:t xml:space="preserve">. </w:t>
            </w:r>
            <w:r w:rsidR="005507F9" w:rsidRPr="008070DB">
              <w:rPr>
                <w:color w:val="000000"/>
                <w:sz w:val="18"/>
                <w:szCs w:val="18"/>
                <w:shd w:val="clear" w:color="auto" w:fill="FFFFFF"/>
                <w:lang w:val="ro-MD" w:eastAsia="ro-MD"/>
              </w:rPr>
              <w:t xml:space="preserve"> Organul</w:t>
            </w:r>
            <w:r w:rsidR="005507F9">
              <w:rPr>
                <w:color w:val="000000"/>
                <w:sz w:val="18"/>
                <w:szCs w:val="18"/>
                <w:shd w:val="clear" w:color="auto" w:fill="FFFFFF"/>
                <w:lang w:val="ro-MD" w:eastAsia="ro-MD"/>
              </w:rPr>
              <w:t>ui</w:t>
            </w:r>
            <w:r w:rsidR="005507F9" w:rsidRPr="008070DB">
              <w:rPr>
                <w:color w:val="000000"/>
                <w:sz w:val="18"/>
                <w:szCs w:val="18"/>
                <w:shd w:val="clear" w:color="auto" w:fill="FFFFFF"/>
                <w:lang w:val="ro-MD" w:eastAsia="ro-MD"/>
              </w:rPr>
              <w:t xml:space="preserve"> de conducere </w:t>
            </w:r>
            <w:r w:rsidRPr="008070DB">
              <w:rPr>
                <w:color w:val="000000"/>
                <w:sz w:val="18"/>
                <w:szCs w:val="18"/>
                <w:shd w:val="clear" w:color="auto" w:fill="FFFFFF"/>
                <w:lang w:val="ro-MD" w:eastAsia="ro-MD"/>
              </w:rPr>
              <w:t xml:space="preserve">trebuie să-și asume rolul principal în integrarea simulărilor de criză în cadrul de gestionare a riscurilor și în cultura riscului a băncii și să se asigure că rezultatele sunt semnificative și sunt utilizate pentru a administra riscul de credit al contrapărții. Rezultatele simulărilor de criză pentru expunerile semnificative trebuie evaluate în raport cu orientările care indică apetitul pentru risc al băncii și trebuie prezentate </w:t>
            </w:r>
            <w:r w:rsidR="001C3DB0">
              <w:rPr>
                <w:color w:val="000000"/>
                <w:sz w:val="18"/>
                <w:szCs w:val="18"/>
                <w:shd w:val="clear" w:color="auto" w:fill="FFFFFF"/>
                <w:lang w:val="ro-MD" w:eastAsia="ro-MD"/>
              </w:rPr>
              <w:t>organului de conducere</w:t>
            </w:r>
            <w:r w:rsidRPr="008070DB">
              <w:rPr>
                <w:color w:val="000000"/>
                <w:sz w:val="18"/>
                <w:szCs w:val="18"/>
                <w:shd w:val="clear" w:color="auto" w:fill="FFFFFF"/>
                <w:lang w:val="ro-MD" w:eastAsia="ro-MD"/>
              </w:rPr>
              <w:t xml:space="preserve"> pentru dezbatere și luare de măsuri atunci când sunt identificate riscuri excesive sau concentrate.</w:t>
            </w:r>
          </w:p>
          <w:p w14:paraId="34033146" w14:textId="77777777" w:rsidR="00CF1AD1" w:rsidRPr="008070DB" w:rsidRDefault="00CF1AD1" w:rsidP="00090866">
            <w:pPr>
              <w:jc w:val="both"/>
              <w:rPr>
                <w:color w:val="000000"/>
                <w:sz w:val="18"/>
                <w:szCs w:val="18"/>
                <w:shd w:val="clear" w:color="auto" w:fill="FFFFFF"/>
                <w:lang w:val="ro-MD" w:eastAsia="ro-MD"/>
              </w:rPr>
            </w:pPr>
          </w:p>
          <w:p w14:paraId="2A6979E5" w14:textId="77777777" w:rsidR="00CF1AD1" w:rsidRPr="008070DB" w:rsidRDefault="00CF1AD1" w:rsidP="00090866">
            <w:pPr>
              <w:jc w:val="both"/>
              <w:rPr>
                <w:color w:val="000000"/>
                <w:sz w:val="18"/>
                <w:szCs w:val="18"/>
                <w:shd w:val="clear" w:color="auto" w:fill="FFFFFF"/>
                <w:lang w:val="ro-MD" w:eastAsia="ro-MD"/>
              </w:rPr>
            </w:pPr>
          </w:p>
          <w:p w14:paraId="6B8FBD68" w14:textId="77777777" w:rsidR="00CF1AD1" w:rsidRPr="008070DB" w:rsidRDefault="00CF1AD1" w:rsidP="00090866">
            <w:pPr>
              <w:jc w:val="both"/>
              <w:rPr>
                <w:color w:val="000000"/>
                <w:sz w:val="18"/>
                <w:szCs w:val="18"/>
                <w:shd w:val="clear" w:color="auto" w:fill="FFFFFF"/>
                <w:lang w:val="ro-MD" w:eastAsia="ro-MD"/>
              </w:rPr>
            </w:pPr>
          </w:p>
          <w:p w14:paraId="45DDF4E6" w14:textId="77777777" w:rsidR="00CF1AD1" w:rsidRPr="008070DB" w:rsidRDefault="00CF1AD1" w:rsidP="00090866">
            <w:pPr>
              <w:jc w:val="both"/>
              <w:rPr>
                <w:color w:val="000000"/>
                <w:sz w:val="18"/>
                <w:szCs w:val="18"/>
                <w:shd w:val="clear" w:color="auto" w:fill="FFFFFF"/>
                <w:lang w:val="ro-MD" w:eastAsia="ro-MD"/>
              </w:rPr>
            </w:pPr>
          </w:p>
          <w:p w14:paraId="4841B844" w14:textId="77777777" w:rsidR="00CF1AD1" w:rsidRPr="008070DB" w:rsidRDefault="00CF1AD1" w:rsidP="00090866">
            <w:pPr>
              <w:jc w:val="both"/>
              <w:rPr>
                <w:color w:val="000000"/>
                <w:sz w:val="18"/>
                <w:szCs w:val="18"/>
                <w:shd w:val="clear" w:color="auto" w:fill="FFFFFF"/>
                <w:lang w:val="ro-MD" w:eastAsia="ro-MD"/>
              </w:rPr>
            </w:pPr>
          </w:p>
          <w:p w14:paraId="65654C10" w14:textId="77777777" w:rsidR="00CF1AD1" w:rsidRPr="008070DB" w:rsidRDefault="00CF1AD1" w:rsidP="00090866">
            <w:pPr>
              <w:jc w:val="both"/>
              <w:rPr>
                <w:color w:val="000000"/>
                <w:sz w:val="18"/>
                <w:szCs w:val="18"/>
                <w:shd w:val="clear" w:color="auto" w:fill="FFFFFF"/>
                <w:lang w:val="ro-MD" w:eastAsia="ro-MD"/>
              </w:rPr>
            </w:pPr>
          </w:p>
          <w:p w14:paraId="51B06DA9" w14:textId="77777777" w:rsidR="00CF1AD1" w:rsidRPr="008070DB" w:rsidRDefault="00CF1AD1" w:rsidP="00090866">
            <w:pPr>
              <w:jc w:val="both"/>
              <w:rPr>
                <w:color w:val="000000"/>
                <w:sz w:val="18"/>
                <w:szCs w:val="18"/>
                <w:shd w:val="clear" w:color="auto" w:fill="FFFFFF"/>
                <w:lang w:val="ro-MD" w:eastAsia="ro-MD"/>
              </w:rPr>
            </w:pPr>
          </w:p>
          <w:p w14:paraId="5A13B84B" w14:textId="77777777" w:rsidR="00CF1AD1" w:rsidRPr="008070DB" w:rsidRDefault="00CF1AD1" w:rsidP="00090866">
            <w:pPr>
              <w:jc w:val="both"/>
              <w:rPr>
                <w:color w:val="000000"/>
                <w:sz w:val="18"/>
                <w:szCs w:val="18"/>
                <w:shd w:val="clear" w:color="auto" w:fill="FFFFFF"/>
                <w:lang w:val="ro-MD" w:eastAsia="ro-MD"/>
              </w:rPr>
            </w:pPr>
          </w:p>
          <w:p w14:paraId="1A8D42A0" w14:textId="77777777" w:rsidR="00CF1AD1" w:rsidRPr="008070DB" w:rsidRDefault="00CF1AD1" w:rsidP="00090866">
            <w:pPr>
              <w:jc w:val="both"/>
              <w:rPr>
                <w:color w:val="000000"/>
                <w:sz w:val="18"/>
                <w:szCs w:val="18"/>
                <w:shd w:val="clear" w:color="auto" w:fill="FFFFFF"/>
                <w:lang w:val="ro-MD" w:eastAsia="ro-MD"/>
              </w:rPr>
            </w:pPr>
          </w:p>
          <w:p w14:paraId="4E119F37" w14:textId="77777777" w:rsidR="00CF1AD1" w:rsidRPr="008070DB" w:rsidRDefault="00CF1AD1" w:rsidP="00090866">
            <w:pPr>
              <w:jc w:val="both"/>
              <w:rPr>
                <w:color w:val="000000"/>
                <w:sz w:val="18"/>
                <w:szCs w:val="18"/>
                <w:shd w:val="clear" w:color="auto" w:fill="FFFFFF"/>
                <w:lang w:val="ro-MD" w:eastAsia="ro-MD"/>
              </w:rPr>
            </w:pPr>
          </w:p>
          <w:p w14:paraId="02337F12" w14:textId="77777777" w:rsidR="00CF1AD1" w:rsidRPr="008070DB" w:rsidRDefault="00CF1AD1" w:rsidP="00090866">
            <w:pPr>
              <w:jc w:val="both"/>
              <w:rPr>
                <w:color w:val="000000"/>
                <w:sz w:val="18"/>
                <w:szCs w:val="18"/>
                <w:shd w:val="clear" w:color="auto" w:fill="FFFFFF"/>
                <w:lang w:val="ro-MD" w:eastAsia="ro-MD"/>
              </w:rPr>
            </w:pPr>
          </w:p>
          <w:p w14:paraId="367D0CD7" w14:textId="77777777" w:rsidR="00CF1AD1" w:rsidRPr="008070DB" w:rsidRDefault="00CF1AD1" w:rsidP="00090866">
            <w:pPr>
              <w:jc w:val="both"/>
              <w:rPr>
                <w:color w:val="000000"/>
                <w:sz w:val="18"/>
                <w:szCs w:val="18"/>
                <w:shd w:val="clear" w:color="auto" w:fill="FFFFFF"/>
                <w:lang w:val="ro-MD" w:eastAsia="ro-MD"/>
              </w:rPr>
            </w:pPr>
          </w:p>
          <w:p w14:paraId="35E197F3" w14:textId="77777777" w:rsidR="00CF1AD1" w:rsidRPr="008070DB" w:rsidRDefault="00CF1AD1" w:rsidP="00090866">
            <w:pPr>
              <w:jc w:val="both"/>
              <w:rPr>
                <w:color w:val="000000"/>
                <w:sz w:val="18"/>
                <w:szCs w:val="18"/>
                <w:shd w:val="clear" w:color="auto" w:fill="FFFFFF"/>
                <w:lang w:val="ro-MD" w:eastAsia="ro-MD"/>
              </w:rPr>
            </w:pPr>
          </w:p>
          <w:p w14:paraId="4F8CD4DD" w14:textId="77777777" w:rsidR="00CF1AD1" w:rsidRPr="008070DB" w:rsidRDefault="00CF1AD1" w:rsidP="00090866">
            <w:pPr>
              <w:jc w:val="both"/>
              <w:rPr>
                <w:color w:val="000000"/>
                <w:sz w:val="18"/>
                <w:szCs w:val="18"/>
                <w:shd w:val="clear" w:color="auto" w:fill="FFFFFF"/>
                <w:lang w:val="ro-MD" w:eastAsia="ro-MD"/>
              </w:rPr>
            </w:pPr>
          </w:p>
          <w:p w14:paraId="68072528" w14:textId="77777777" w:rsidR="00CF1AD1" w:rsidRPr="008070DB" w:rsidRDefault="00CF1AD1" w:rsidP="00090866">
            <w:pPr>
              <w:jc w:val="both"/>
              <w:rPr>
                <w:color w:val="000000"/>
                <w:sz w:val="18"/>
                <w:szCs w:val="18"/>
                <w:shd w:val="clear" w:color="auto" w:fill="FFFFFF"/>
                <w:lang w:val="ro-MD" w:eastAsia="ro-MD"/>
              </w:rPr>
            </w:pPr>
          </w:p>
          <w:p w14:paraId="4F1B2EB7" w14:textId="77777777" w:rsidR="00CF1AD1" w:rsidRPr="008070DB" w:rsidRDefault="00CF1AD1" w:rsidP="00090866">
            <w:pPr>
              <w:jc w:val="both"/>
              <w:rPr>
                <w:color w:val="000000"/>
                <w:sz w:val="18"/>
                <w:szCs w:val="18"/>
                <w:shd w:val="clear" w:color="auto" w:fill="FFFFFF"/>
                <w:lang w:val="ro-MD" w:eastAsia="ro-MD"/>
              </w:rPr>
            </w:pPr>
          </w:p>
          <w:p w14:paraId="70AB3BA2" w14:textId="77777777" w:rsidR="00CF1AD1" w:rsidRPr="008070DB" w:rsidRDefault="00CF1AD1" w:rsidP="00090866">
            <w:pPr>
              <w:jc w:val="both"/>
              <w:rPr>
                <w:color w:val="000000"/>
                <w:sz w:val="18"/>
                <w:szCs w:val="18"/>
                <w:shd w:val="clear" w:color="auto" w:fill="FFFFFF"/>
                <w:lang w:val="ro-MD" w:eastAsia="ro-MD"/>
              </w:rPr>
            </w:pPr>
          </w:p>
          <w:p w14:paraId="64AE59A5" w14:textId="77777777" w:rsidR="00CF1AD1" w:rsidRPr="008070DB" w:rsidRDefault="00CF1AD1" w:rsidP="00090866">
            <w:pPr>
              <w:jc w:val="both"/>
              <w:rPr>
                <w:color w:val="000000"/>
                <w:sz w:val="18"/>
                <w:szCs w:val="18"/>
                <w:shd w:val="clear" w:color="auto" w:fill="FFFFFF"/>
                <w:lang w:val="ro-MD" w:eastAsia="ro-MD"/>
              </w:rPr>
            </w:pPr>
          </w:p>
          <w:p w14:paraId="38054947" w14:textId="77777777" w:rsidR="00CF1AD1" w:rsidRPr="008070DB" w:rsidRDefault="00CF1AD1" w:rsidP="00090866">
            <w:pPr>
              <w:jc w:val="both"/>
              <w:rPr>
                <w:color w:val="000000"/>
                <w:sz w:val="18"/>
                <w:szCs w:val="18"/>
                <w:shd w:val="clear" w:color="auto" w:fill="FFFFFF"/>
                <w:lang w:val="ro-MD" w:eastAsia="ro-MD"/>
              </w:rPr>
            </w:pPr>
          </w:p>
          <w:p w14:paraId="4638F5B3" w14:textId="77777777" w:rsidR="00CF1AD1" w:rsidRPr="008070DB" w:rsidRDefault="00CF1AD1" w:rsidP="00090866">
            <w:pPr>
              <w:jc w:val="both"/>
              <w:rPr>
                <w:color w:val="000000"/>
                <w:sz w:val="18"/>
                <w:szCs w:val="18"/>
                <w:shd w:val="clear" w:color="auto" w:fill="FFFFFF"/>
                <w:lang w:val="ro-MD" w:eastAsia="ro-MD"/>
              </w:rPr>
            </w:pPr>
          </w:p>
          <w:p w14:paraId="57E9A19C" w14:textId="77777777" w:rsidR="00CF1AD1" w:rsidRPr="008070DB" w:rsidRDefault="00CF1AD1" w:rsidP="00090866">
            <w:pPr>
              <w:jc w:val="both"/>
              <w:rPr>
                <w:color w:val="000000"/>
                <w:sz w:val="18"/>
                <w:szCs w:val="18"/>
                <w:shd w:val="clear" w:color="auto" w:fill="FFFFFF"/>
                <w:lang w:val="ro-MD" w:eastAsia="ro-MD"/>
              </w:rPr>
            </w:pPr>
          </w:p>
          <w:p w14:paraId="7CA7466D" w14:textId="77777777" w:rsidR="00CF1AD1" w:rsidRPr="008070DB" w:rsidRDefault="00CF1AD1" w:rsidP="00090866">
            <w:pPr>
              <w:jc w:val="both"/>
              <w:rPr>
                <w:b/>
                <w:bCs/>
                <w:color w:val="000000"/>
                <w:sz w:val="18"/>
                <w:szCs w:val="18"/>
                <w:shd w:val="clear" w:color="auto" w:fill="FFFFFF"/>
                <w:lang w:val="ro-MD" w:eastAsia="ro-MD"/>
              </w:rPr>
            </w:pPr>
          </w:p>
          <w:p w14:paraId="041B3EFD" w14:textId="6F3E4986" w:rsidR="00236954" w:rsidRPr="008070DB" w:rsidRDefault="00090866" w:rsidP="00090866">
            <w:pPr>
              <w:autoSpaceDE w:val="0"/>
              <w:autoSpaceDN w:val="0"/>
              <w:adjustRightInd w:val="0"/>
              <w:spacing w:before="60" w:after="60"/>
              <w:jc w:val="center"/>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244C26D6" w14:textId="788429EC" w:rsidR="00236954" w:rsidRPr="00A96E09" w:rsidRDefault="00090866" w:rsidP="00236954">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187A98B1" w14:textId="77777777" w:rsidR="00236954" w:rsidRPr="00A96E09" w:rsidRDefault="00236954" w:rsidP="00236954">
            <w:pPr>
              <w:rPr>
                <w:sz w:val="18"/>
                <w:szCs w:val="18"/>
                <w:lang w:val="ro-MD"/>
              </w:rPr>
            </w:pPr>
          </w:p>
        </w:tc>
      </w:tr>
      <w:tr w:rsidR="00236954" w:rsidRPr="007C0793" w14:paraId="58E09A4C" w14:textId="77777777" w:rsidTr="00C14AF6">
        <w:trPr>
          <w:trHeight w:val="918"/>
        </w:trPr>
        <w:tc>
          <w:tcPr>
            <w:tcW w:w="3866" w:type="dxa"/>
          </w:tcPr>
          <w:p w14:paraId="226B6223" w14:textId="6706D68F" w:rsidR="00CF1AD1" w:rsidRPr="00CF1AD1" w:rsidRDefault="00CF1AD1" w:rsidP="00CF1AD1">
            <w:pPr>
              <w:pStyle w:val="title-article-norm"/>
              <w:shd w:val="clear" w:color="auto" w:fill="FFFFFF"/>
              <w:jc w:val="left"/>
              <w:rPr>
                <w:b/>
                <w:bCs/>
                <w:i w:val="0"/>
                <w:iCs w:val="0"/>
                <w:color w:val="000000"/>
                <w:sz w:val="18"/>
                <w:szCs w:val="18"/>
              </w:rPr>
            </w:pPr>
            <w:r w:rsidRPr="00CF1AD1">
              <w:rPr>
                <w:i w:val="0"/>
                <w:iCs w:val="0"/>
                <w:color w:val="000000"/>
                <w:sz w:val="18"/>
                <w:szCs w:val="18"/>
              </w:rPr>
              <w:lastRenderedPageBreak/>
              <w:t>Articolul 291</w:t>
            </w:r>
            <w:r>
              <w:rPr>
                <w:i w:val="0"/>
                <w:iCs w:val="0"/>
                <w:color w:val="000000"/>
                <w:sz w:val="18"/>
                <w:szCs w:val="18"/>
              </w:rPr>
              <w:t xml:space="preserve"> </w:t>
            </w:r>
            <w:r w:rsidRPr="00CF1AD1">
              <w:rPr>
                <w:b/>
                <w:bCs/>
                <w:color w:val="000000"/>
                <w:sz w:val="18"/>
                <w:szCs w:val="18"/>
              </w:rPr>
              <w:t>Riscul de corelare defavorabilă (Wrong-Way Risk)</w:t>
            </w:r>
          </w:p>
          <w:p w14:paraId="0B92C766" w14:textId="2EA21C33" w:rsidR="00CF1AD1" w:rsidRPr="00CF1AD1" w:rsidRDefault="00CF1AD1" w:rsidP="00CF1AD1">
            <w:pPr>
              <w:shd w:val="clear" w:color="auto" w:fill="FFFFFF"/>
              <w:rPr>
                <w:color w:val="000000"/>
                <w:sz w:val="18"/>
                <w:szCs w:val="18"/>
                <w:lang w:val="en-US"/>
              </w:rPr>
            </w:pPr>
            <w:r w:rsidRPr="00CF1AD1">
              <w:rPr>
                <w:rStyle w:val="no-parag"/>
                <w:color w:val="000000"/>
                <w:sz w:val="18"/>
                <w:szCs w:val="18"/>
                <w:lang w:val="en-US"/>
              </w:rPr>
              <w:t>(1) </w:t>
            </w:r>
            <w:r w:rsidRPr="00CF1AD1">
              <w:rPr>
                <w:color w:val="000000"/>
                <w:sz w:val="18"/>
                <w:szCs w:val="18"/>
                <w:lang w:val="en-US"/>
              </w:rPr>
              <w:t>În sensul prezentului articol:</w:t>
            </w:r>
          </w:p>
          <w:p w14:paraId="0A4FA1E3" w14:textId="1C209B9C"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 xml:space="preserve">(a) „riscul general de corelare defavorabilă” apare atunci când probabilitatea intrării în stare de nerambursare a contrapărții este corelată pozitiv cu factorii de risc de piață </w:t>
            </w:r>
            <w:proofErr w:type="gramStart"/>
            <w:r w:rsidRPr="00CF1AD1">
              <w:rPr>
                <w:color w:val="000000"/>
                <w:sz w:val="18"/>
                <w:szCs w:val="18"/>
                <w:lang w:val="en-US"/>
              </w:rPr>
              <w:t>generali;</w:t>
            </w:r>
            <w:proofErr w:type="gramEnd"/>
          </w:p>
          <w:p w14:paraId="6EFD2D75" w14:textId="29FE634D"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 xml:space="preserve">(b) „riscul specific de corelare defavorabilă” apare atunci când expunerea viitoare față de o anumită contraparte este corelată pozitiv cu PD a contrapărții, ca urmare a tipului de tranzacții efectuate cu contrapartea. Se consideră că o instituție este expusă unui risc specific de corelare defavorabilă în cazul în care este de așteptat ca expunerea viitoare față de o anumită contraparte să fie semnificativă atunci când probabilitatea de </w:t>
            </w:r>
            <w:r w:rsidRPr="00CF1AD1">
              <w:rPr>
                <w:color w:val="000000"/>
                <w:sz w:val="18"/>
                <w:szCs w:val="18"/>
                <w:lang w:val="en-US"/>
              </w:rPr>
              <w:lastRenderedPageBreak/>
              <w:t>nerambursare de către contraparte este, de asemenea, ridicată.</w:t>
            </w:r>
          </w:p>
          <w:p w14:paraId="1D430798" w14:textId="6C857BBF" w:rsidR="00CF1AD1" w:rsidRPr="00CF1AD1" w:rsidRDefault="00CF1AD1" w:rsidP="00CF1AD1">
            <w:pPr>
              <w:shd w:val="clear" w:color="auto" w:fill="FFFFFF"/>
              <w:rPr>
                <w:color w:val="000000"/>
                <w:sz w:val="18"/>
                <w:szCs w:val="18"/>
                <w:lang w:val="en-US"/>
              </w:rPr>
            </w:pPr>
            <w:r w:rsidRPr="00CF1AD1">
              <w:rPr>
                <w:rStyle w:val="no-parag"/>
                <w:color w:val="000000"/>
                <w:sz w:val="18"/>
                <w:szCs w:val="18"/>
                <w:lang w:val="en-US"/>
              </w:rPr>
              <w:t>(2) </w:t>
            </w:r>
            <w:r w:rsidRPr="00CF1AD1">
              <w:rPr>
                <w:color w:val="000000"/>
                <w:sz w:val="18"/>
                <w:szCs w:val="18"/>
                <w:lang w:val="en-US"/>
              </w:rPr>
              <w:t>O instituție trebuie să acorde atenția cuvenită expunerilor care conduc la un nivel semnificativ al riscului specific și al celui general de corelare defavorabilă.</w:t>
            </w:r>
          </w:p>
          <w:p w14:paraId="6A00C5B1" w14:textId="40EB4B1F" w:rsidR="00CF1AD1" w:rsidRPr="00CF1AD1" w:rsidRDefault="00CF1AD1" w:rsidP="00CF1AD1">
            <w:pPr>
              <w:shd w:val="clear" w:color="auto" w:fill="FFFFFF"/>
              <w:rPr>
                <w:color w:val="000000"/>
                <w:sz w:val="18"/>
                <w:szCs w:val="18"/>
                <w:lang w:val="en-US"/>
              </w:rPr>
            </w:pPr>
            <w:r w:rsidRPr="00CF1AD1">
              <w:rPr>
                <w:rStyle w:val="no-parag"/>
                <w:color w:val="000000"/>
                <w:sz w:val="18"/>
                <w:szCs w:val="18"/>
                <w:lang w:val="en-US"/>
              </w:rPr>
              <w:t>(3) </w:t>
            </w:r>
            <w:r>
              <w:rPr>
                <w:rStyle w:val="no-parag"/>
                <w:color w:val="000000"/>
                <w:sz w:val="18"/>
                <w:szCs w:val="18"/>
                <w:lang w:val="ro-MD"/>
              </w:rPr>
              <w:t>P</w:t>
            </w:r>
            <w:r w:rsidRPr="00CF1AD1">
              <w:rPr>
                <w:color w:val="000000"/>
                <w:sz w:val="18"/>
                <w:szCs w:val="18"/>
                <w:lang w:val="en-US"/>
              </w:rPr>
              <w:t>entru a identifica riscul general de corelare defavorabilă, o instituție trebuie să conceapă simulări de criză și să analizeze scenarii pentru factorii de risc care sunt corelați în mod defavorabil cu bonitatea contrapărții. Aceste simulări vizează posibilitatea producerii unor șocuri severe atunci când legăturile dintre factorii de risc se schimbă. O instituție trebuie să monitorizeze riscul general de corelare defavorabilă pe produs, pe regiune, pe sector industrial sau pe alte categorii relevante pentru activitatea sa.</w:t>
            </w:r>
          </w:p>
          <w:p w14:paraId="18E7F587" w14:textId="3231506A" w:rsidR="00CF1AD1" w:rsidRPr="00CF1AD1" w:rsidRDefault="00CF1AD1" w:rsidP="00CF1AD1">
            <w:pPr>
              <w:shd w:val="clear" w:color="auto" w:fill="FFFFFF"/>
              <w:rPr>
                <w:color w:val="000000"/>
                <w:sz w:val="18"/>
                <w:szCs w:val="18"/>
                <w:lang w:val="en-US"/>
              </w:rPr>
            </w:pPr>
            <w:r w:rsidRPr="00CF1AD1">
              <w:rPr>
                <w:rStyle w:val="no-parag"/>
                <w:color w:val="000000"/>
                <w:sz w:val="18"/>
                <w:szCs w:val="18"/>
                <w:lang w:val="en-US"/>
              </w:rPr>
              <w:t>(4) </w:t>
            </w:r>
            <w:r w:rsidRPr="00CF1AD1">
              <w:rPr>
                <w:color w:val="000000"/>
                <w:sz w:val="18"/>
                <w:szCs w:val="18"/>
                <w:lang w:val="en-US"/>
              </w:rPr>
              <w:t>O instituție trebuie să dispună de proceduri de identificare, monitorizare și control al cazurilor de risc specific de corelare defavorabilă pentru fiecare entitate juridică, începând de la inițierea tranzacției și continuând pe toată durata acesteia.</w:t>
            </w:r>
          </w:p>
          <w:p w14:paraId="7368879B" w14:textId="37EFB2E1" w:rsidR="00CF1AD1" w:rsidRPr="00CF1AD1" w:rsidRDefault="00CF1AD1" w:rsidP="00CF1AD1">
            <w:pPr>
              <w:shd w:val="clear" w:color="auto" w:fill="FFFFFF"/>
              <w:rPr>
                <w:color w:val="000000"/>
                <w:sz w:val="18"/>
                <w:szCs w:val="18"/>
                <w:lang w:val="en-US"/>
              </w:rPr>
            </w:pPr>
            <w:r w:rsidRPr="00CF1AD1">
              <w:rPr>
                <w:rStyle w:val="no-parag"/>
                <w:color w:val="000000"/>
                <w:sz w:val="18"/>
                <w:szCs w:val="18"/>
                <w:lang w:val="en-US"/>
              </w:rPr>
              <w:t>(5)  </w:t>
            </w:r>
            <w:r w:rsidRPr="00CF1AD1">
              <w:rPr>
                <w:color w:val="000000"/>
                <w:sz w:val="18"/>
                <w:szCs w:val="18"/>
                <w:lang w:val="en-US"/>
              </w:rPr>
              <w:t>Instituțiile calculează cerințele de fonduri proprii pentru riscul de credit al contrapărții legate de tranzacțiile în cazul cărora a fost identificat un risc specific de corelare defavorabilă și atunci când există o legătură juridică între contraparte și emitentul instrumentului suport al instrumentului financiar derivat extrabursier sau al tranzacțiilor menționate la articolul 273 alineatul (2) literele (b)-(d), în conformitate cu următoarele principii:</w:t>
            </w:r>
          </w:p>
          <w:p w14:paraId="56F6631D" w14:textId="765832EC"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(a)</w:t>
            </w:r>
            <w:r>
              <w:rPr>
                <w:color w:val="000000"/>
                <w:sz w:val="18"/>
                <w:szCs w:val="18"/>
                <w:lang w:val="ro-MD"/>
              </w:rPr>
              <w:t xml:space="preserve"> </w:t>
            </w:r>
            <w:r w:rsidRPr="00CF1AD1">
              <w:rPr>
                <w:color w:val="000000"/>
                <w:sz w:val="18"/>
                <w:szCs w:val="18"/>
                <w:lang w:val="en-US"/>
              </w:rPr>
              <w:t xml:space="preserve">instrumentele care prezintă un risc specific de corelare defavorabilă nu se includ în același set de compensare cu alte tranzacții cu contrapartea și se tratează ca fiind, fiecare, </w:t>
            </w:r>
            <w:proofErr w:type="gramStart"/>
            <w:r w:rsidRPr="00CF1AD1">
              <w:rPr>
                <w:color w:val="000000"/>
                <w:sz w:val="18"/>
                <w:szCs w:val="18"/>
                <w:lang w:val="en-US"/>
              </w:rPr>
              <w:t>un set</w:t>
            </w:r>
            <w:proofErr w:type="gramEnd"/>
            <w:r w:rsidRPr="00CF1AD1">
              <w:rPr>
                <w:color w:val="000000"/>
                <w:sz w:val="18"/>
                <w:szCs w:val="18"/>
                <w:lang w:val="en-US"/>
              </w:rPr>
              <w:t xml:space="preserve"> de compensare </w:t>
            </w:r>
            <w:proofErr w:type="gramStart"/>
            <w:r w:rsidRPr="00CF1AD1">
              <w:rPr>
                <w:color w:val="000000"/>
                <w:sz w:val="18"/>
                <w:szCs w:val="18"/>
                <w:lang w:val="en-US"/>
              </w:rPr>
              <w:t>separat;</w:t>
            </w:r>
            <w:proofErr w:type="gramEnd"/>
          </w:p>
          <w:p w14:paraId="0D8CC8CB" w14:textId="30A6882A"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 xml:space="preserve">(b) în orice astfel de set de compensare separat, valoarea expunerii pentru instrumentele de tip credit default swap având la bază o singură </w:t>
            </w:r>
            <w:r w:rsidRPr="00CF1AD1">
              <w:rPr>
                <w:color w:val="000000"/>
                <w:sz w:val="18"/>
                <w:szCs w:val="18"/>
                <w:lang w:val="en-US"/>
              </w:rPr>
              <w:lastRenderedPageBreak/>
              <w:t xml:space="preserve">semnătură este egală cu întreaga pierdere așteptată pentru restul valorii juste </w:t>
            </w:r>
            <w:proofErr w:type="gramStart"/>
            <w:r w:rsidRPr="00CF1AD1">
              <w:rPr>
                <w:color w:val="000000"/>
                <w:sz w:val="18"/>
                <w:szCs w:val="18"/>
                <w:lang w:val="en-US"/>
              </w:rPr>
              <w:t>a</w:t>
            </w:r>
            <w:proofErr w:type="gramEnd"/>
            <w:r w:rsidRPr="00CF1AD1">
              <w:rPr>
                <w:color w:val="000000"/>
                <w:sz w:val="18"/>
                <w:szCs w:val="18"/>
                <w:lang w:val="en-US"/>
              </w:rPr>
              <w:t xml:space="preserve"> instrumentelor-suport, în ipoteza că emitentul acestora este în </w:t>
            </w:r>
            <w:proofErr w:type="gramStart"/>
            <w:r w:rsidRPr="00CF1AD1">
              <w:rPr>
                <w:color w:val="000000"/>
                <w:sz w:val="18"/>
                <w:szCs w:val="18"/>
                <w:lang w:val="en-US"/>
              </w:rPr>
              <w:t>lichidare;</w:t>
            </w:r>
            <w:proofErr w:type="gramEnd"/>
          </w:p>
          <w:p w14:paraId="2E5C26EB" w14:textId="7FC2739E"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 xml:space="preserve">(c) pierderea în caz de nerambursare pentru o instituție care utilizează abordarea prevăzută la capitolul 3 este de 100 % pentru astfel de tranzacții </w:t>
            </w:r>
            <w:proofErr w:type="gramStart"/>
            <w:r w:rsidRPr="00CF1AD1">
              <w:rPr>
                <w:color w:val="000000"/>
                <w:sz w:val="18"/>
                <w:szCs w:val="18"/>
                <w:lang w:val="en-US"/>
              </w:rPr>
              <w:t>swap;</w:t>
            </w:r>
            <w:proofErr w:type="gramEnd"/>
          </w:p>
          <w:p w14:paraId="66A12A7A" w14:textId="61DA75B9"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 xml:space="preserve">(d) pentru o instituție care utilizează abordarea prevăzută la capitolul 2, ponderea de risc aplicabilă este cea a unei tranzacții </w:t>
            </w:r>
            <w:proofErr w:type="gramStart"/>
            <w:r w:rsidRPr="00CF1AD1">
              <w:rPr>
                <w:color w:val="000000"/>
                <w:sz w:val="18"/>
                <w:szCs w:val="18"/>
                <w:lang w:val="en-US"/>
              </w:rPr>
              <w:t>negarantate;</w:t>
            </w:r>
            <w:proofErr w:type="gramEnd"/>
          </w:p>
          <w:p w14:paraId="7DC32A7D" w14:textId="14E327D4"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(e) pentru toate celelalte tranzacții având la bază o singură semnătură din orice astfel de set de compensare separat, calculul valorii expunerii este efectuat ținând seama de ipoteza unei intrări subite în stare de nerambursare (</w:t>
            </w:r>
            <w:r w:rsidRPr="00CF1AD1">
              <w:rPr>
                <w:rStyle w:val="italics"/>
                <w:i/>
                <w:iCs/>
                <w:color w:val="000000"/>
                <w:sz w:val="18"/>
                <w:szCs w:val="18"/>
                <w:lang w:val="en-US"/>
              </w:rPr>
              <w:t>jump-to-default</w:t>
            </w:r>
            <w:r w:rsidRPr="00CF1AD1">
              <w:rPr>
                <w:color w:val="000000"/>
                <w:sz w:val="18"/>
                <w:szCs w:val="18"/>
                <w:lang w:val="en-US"/>
              </w:rPr>
              <w:t xml:space="preserve">) </w:t>
            </w:r>
            <w:proofErr w:type="gramStart"/>
            <w:r w:rsidRPr="00CF1AD1">
              <w:rPr>
                <w:color w:val="000000"/>
                <w:sz w:val="18"/>
                <w:szCs w:val="18"/>
                <w:lang w:val="en-US"/>
              </w:rPr>
              <w:t>a</w:t>
            </w:r>
            <w:proofErr w:type="gramEnd"/>
            <w:r w:rsidRPr="00CF1AD1">
              <w:rPr>
                <w:color w:val="000000"/>
                <w:sz w:val="18"/>
                <w:szCs w:val="18"/>
                <w:lang w:val="en-US"/>
              </w:rPr>
              <w:t xml:space="preserve"> obligațiilor-suport respective în cazul în care există o legătură de natură juridică între emitent și contraparte. Pentru tranzacțiile care au la bază un grup de semnături sau un indice, se aplică intrarea subită în stare de nerambursare (</w:t>
            </w:r>
            <w:r w:rsidRPr="00CF1AD1">
              <w:rPr>
                <w:rStyle w:val="italics"/>
                <w:i/>
                <w:iCs/>
                <w:color w:val="000000"/>
                <w:sz w:val="18"/>
                <w:szCs w:val="18"/>
                <w:lang w:val="en-US"/>
              </w:rPr>
              <w:t>jump-to-default</w:t>
            </w:r>
            <w:r w:rsidRPr="00CF1AD1">
              <w:rPr>
                <w:color w:val="000000"/>
                <w:sz w:val="18"/>
                <w:szCs w:val="18"/>
                <w:lang w:val="en-US"/>
              </w:rPr>
              <w:t xml:space="preserve">) </w:t>
            </w:r>
            <w:proofErr w:type="gramStart"/>
            <w:r w:rsidRPr="00CF1AD1">
              <w:rPr>
                <w:color w:val="000000"/>
                <w:sz w:val="18"/>
                <w:szCs w:val="18"/>
                <w:lang w:val="en-US"/>
              </w:rPr>
              <w:t>a</w:t>
            </w:r>
            <w:proofErr w:type="gramEnd"/>
            <w:r w:rsidRPr="00CF1AD1">
              <w:rPr>
                <w:color w:val="000000"/>
                <w:sz w:val="18"/>
                <w:szCs w:val="18"/>
                <w:lang w:val="en-US"/>
              </w:rPr>
              <w:t xml:space="preserve"> obligațiilor-suport respective, dacă sunt semnificative, în cazul în care există o legătură de natură juridică între emitent și </w:t>
            </w:r>
            <w:proofErr w:type="gramStart"/>
            <w:r w:rsidRPr="00CF1AD1">
              <w:rPr>
                <w:color w:val="000000"/>
                <w:sz w:val="18"/>
                <w:szCs w:val="18"/>
                <w:lang w:val="en-US"/>
              </w:rPr>
              <w:t>contraparte;</w:t>
            </w:r>
            <w:proofErr w:type="gramEnd"/>
          </w:p>
          <w:p w14:paraId="52FD168D" w14:textId="697BBFE3" w:rsidR="00CF1AD1" w:rsidRPr="00CF1AD1" w:rsidRDefault="00CF1AD1" w:rsidP="00CF1AD1">
            <w:pPr>
              <w:shd w:val="clear" w:color="auto" w:fill="FFFFFF"/>
              <w:jc w:val="both"/>
              <w:rPr>
                <w:color w:val="000000"/>
                <w:sz w:val="18"/>
                <w:szCs w:val="18"/>
                <w:lang w:val="en-US"/>
              </w:rPr>
            </w:pPr>
            <w:r w:rsidRPr="00CF1AD1">
              <w:rPr>
                <w:color w:val="000000"/>
                <w:sz w:val="18"/>
                <w:szCs w:val="18"/>
                <w:lang w:val="en-US"/>
              </w:rPr>
              <w:t>(f) în măsura în care se utilizează calcule ale riscului de piață efectuate pentru determinarea cerințelor de fonduri proprii pentru riscul de nerambursare, astfel cum se prevede în titlul IV capitolul 1a secțiunea 4 sau 5, sau pentru riscul de nerambursare utilizând un model intern pentru riscul de nerambursare, astfel cum se prevede în titlul IV capitolul 1b secțiunea 3, care conțin deja o ipoteză privind LGD, LGD din formula utilizată este de 100 %.</w:t>
            </w:r>
          </w:p>
          <w:p w14:paraId="039718D0" w14:textId="7308A02A" w:rsidR="00236954" w:rsidRPr="00752DB3" w:rsidRDefault="00CF1AD1" w:rsidP="00752DB3">
            <w:pPr>
              <w:shd w:val="clear" w:color="auto" w:fill="FFFFFF"/>
              <w:jc w:val="both"/>
              <w:rPr>
                <w:color w:val="000000"/>
                <w:sz w:val="18"/>
                <w:szCs w:val="18"/>
                <w:lang w:val="en-US"/>
              </w:rPr>
            </w:pPr>
            <w:r w:rsidRPr="00CF1AD1">
              <w:rPr>
                <w:rStyle w:val="no-parag"/>
                <w:color w:val="000000"/>
                <w:sz w:val="18"/>
                <w:szCs w:val="18"/>
                <w:lang w:val="en-US"/>
              </w:rPr>
              <w:t>(6)  </w:t>
            </w:r>
            <w:r w:rsidRPr="00CF1AD1">
              <w:rPr>
                <w:color w:val="000000"/>
                <w:sz w:val="18"/>
                <w:szCs w:val="18"/>
                <w:lang w:val="en-US"/>
              </w:rPr>
              <w:t> Instituțiile trebuie să prezinte conducerii superioare și comitetului competent al organului de conducere rapoarte periodice privind atât riscul specific, cât și riscul general de corelare defavorabilă și măsurile luate pentru administrarea acestor riscuri.</w:t>
            </w:r>
          </w:p>
        </w:tc>
        <w:tc>
          <w:tcPr>
            <w:tcW w:w="4356" w:type="dxa"/>
          </w:tcPr>
          <w:p w14:paraId="69507122" w14:textId="77777777" w:rsidR="00CF1AD1" w:rsidRPr="008070DB" w:rsidRDefault="00CF1AD1" w:rsidP="00CF1AD1">
            <w:pPr>
              <w:jc w:val="center"/>
              <w:rPr>
                <w:i/>
                <w:iCs/>
                <w:color w:val="000000"/>
                <w:sz w:val="18"/>
                <w:szCs w:val="18"/>
                <w:shd w:val="clear" w:color="auto" w:fill="FFFFFF"/>
                <w:lang w:val="ro-MD" w:eastAsia="ro-MD"/>
              </w:rPr>
            </w:pPr>
          </w:p>
          <w:p w14:paraId="65A28ADE" w14:textId="77777777" w:rsidR="00CF1AD1" w:rsidRPr="008070DB" w:rsidRDefault="00CF1AD1" w:rsidP="00CF1AD1">
            <w:pPr>
              <w:jc w:val="both"/>
              <w:rPr>
                <w:b/>
                <w:sz w:val="18"/>
                <w:szCs w:val="18"/>
                <w:lang w:val="ro-MD"/>
              </w:rPr>
            </w:pPr>
            <w:r w:rsidRPr="008070DB">
              <w:rPr>
                <w:b/>
                <w:sz w:val="18"/>
                <w:szCs w:val="18"/>
                <w:lang w:val="ro-MD"/>
              </w:rPr>
              <w:t xml:space="preserve">Capitolul I. Dispoziții generale </w:t>
            </w:r>
          </w:p>
          <w:p w14:paraId="27B653BF" w14:textId="77777777" w:rsidR="00CF1AD1" w:rsidRPr="008070DB" w:rsidRDefault="00CF1AD1" w:rsidP="00CF1AD1">
            <w:pPr>
              <w:jc w:val="both"/>
              <w:rPr>
                <w:i/>
                <w:sz w:val="18"/>
                <w:szCs w:val="18"/>
                <w:lang w:val="ro-MD"/>
              </w:rPr>
            </w:pPr>
          </w:p>
          <w:p w14:paraId="18B78BD9" w14:textId="77777777" w:rsidR="00CF1AD1" w:rsidRPr="008070DB" w:rsidRDefault="00CF1AD1" w:rsidP="00CF1AD1">
            <w:pPr>
              <w:pStyle w:val="CM4"/>
              <w:tabs>
                <w:tab w:val="left" w:pos="150"/>
              </w:tabs>
              <w:jc w:val="both"/>
              <w:rPr>
                <w:rFonts w:ascii="Times New Roman" w:hAnsi="Times New Roman"/>
                <w:i/>
                <w:color w:val="0000CC"/>
                <w:sz w:val="18"/>
                <w:szCs w:val="18"/>
                <w:lang w:val="ro-MD"/>
              </w:rPr>
            </w:pPr>
            <w:r w:rsidRPr="008070DB">
              <w:rPr>
                <w:rFonts w:ascii="Times New Roman" w:hAnsi="Times New Roman"/>
                <w:i/>
                <w:sz w:val="18"/>
                <w:szCs w:val="18"/>
                <w:lang w:val="ro-MD"/>
              </w:rPr>
              <w:t>Secțiunea 1. Domeniu de aplicare şi noţiuni</w:t>
            </w:r>
          </w:p>
          <w:p w14:paraId="547CC5EB" w14:textId="77777777" w:rsidR="00CF1AD1" w:rsidRPr="008070DB" w:rsidRDefault="00CF1AD1" w:rsidP="00CF1AD1">
            <w:pPr>
              <w:jc w:val="both"/>
              <w:rPr>
                <w:i/>
                <w:sz w:val="18"/>
                <w:szCs w:val="18"/>
                <w:lang w:val="ro-MD"/>
              </w:rPr>
            </w:pPr>
          </w:p>
          <w:p w14:paraId="51C1AA27" w14:textId="77777777" w:rsidR="00CF1AD1" w:rsidRPr="008070DB" w:rsidRDefault="00CF1AD1" w:rsidP="00CF1AD1">
            <w:pPr>
              <w:tabs>
                <w:tab w:val="left" w:pos="540"/>
              </w:tabs>
              <w:jc w:val="both"/>
              <w:rPr>
                <w:color w:val="000000"/>
                <w:sz w:val="18"/>
                <w:szCs w:val="18"/>
                <w:lang w:val="ro-MD"/>
              </w:rPr>
            </w:pPr>
            <w:r w:rsidRPr="008070DB">
              <w:rPr>
                <w:b/>
                <w:bCs/>
                <w:color w:val="000000"/>
                <w:sz w:val="18"/>
                <w:szCs w:val="18"/>
                <w:lang w:val="ro-MD"/>
              </w:rPr>
              <w:t>3.</w:t>
            </w:r>
            <w:r w:rsidRPr="008070DB">
              <w:rPr>
                <w:color w:val="000000"/>
                <w:sz w:val="18"/>
                <w:szCs w:val="18"/>
                <w:lang w:val="ro-MD"/>
              </w:rPr>
              <w:t xml:space="preserve"> În sensul prezentului regulamentului se utilizează următoarele noţiuni:</w:t>
            </w:r>
          </w:p>
          <w:p w14:paraId="7CBB98E4" w14:textId="0494C7B4" w:rsidR="00CF1AD1" w:rsidRPr="008070DB" w:rsidRDefault="00CF1AD1" w:rsidP="00CF1AD1">
            <w:pPr>
              <w:tabs>
                <w:tab w:val="left" w:pos="540"/>
              </w:tabs>
              <w:jc w:val="both"/>
              <w:rPr>
                <w:color w:val="000000"/>
                <w:sz w:val="18"/>
                <w:szCs w:val="18"/>
                <w:lang w:val="ro-RO"/>
              </w:rPr>
            </w:pPr>
            <w:r w:rsidRPr="008070DB">
              <w:rPr>
                <w:color w:val="000000"/>
                <w:sz w:val="18"/>
                <w:szCs w:val="18"/>
                <w:lang w:val="ro-MD"/>
              </w:rPr>
              <w:t>.......</w:t>
            </w:r>
          </w:p>
          <w:p w14:paraId="4DCACC26" w14:textId="77777777" w:rsidR="00CF1AD1" w:rsidRPr="008070DB" w:rsidRDefault="00CF1AD1" w:rsidP="00CF1AD1">
            <w:pPr>
              <w:pStyle w:val="ListParagraph"/>
              <w:ind w:left="0"/>
              <w:jc w:val="both"/>
              <w:rPr>
                <w:sz w:val="18"/>
                <w:szCs w:val="18"/>
                <w:lang w:val="ro-MD"/>
              </w:rPr>
            </w:pPr>
            <w:r w:rsidRPr="008070DB">
              <w:rPr>
                <w:sz w:val="18"/>
                <w:szCs w:val="18"/>
                <w:lang w:val="ro-MD"/>
              </w:rPr>
              <w:t>„</w:t>
            </w:r>
            <w:r w:rsidRPr="008070DB">
              <w:rPr>
                <w:i/>
                <w:iCs/>
                <w:sz w:val="18"/>
                <w:szCs w:val="18"/>
                <w:lang w:val="ro-MD"/>
              </w:rPr>
              <w:t>riscul general de corelare defavorabilă</w:t>
            </w:r>
            <w:r w:rsidRPr="008070DB">
              <w:rPr>
                <w:sz w:val="18"/>
                <w:szCs w:val="18"/>
                <w:lang w:val="ro-MD"/>
              </w:rPr>
              <w:t xml:space="preserve"> - apare atunci când probabilitatea intrării în stare de nerambursare a contrapărții este corelată pozitiv cu factorii de risc de piață generali;</w:t>
            </w:r>
          </w:p>
          <w:p w14:paraId="7806A3E5" w14:textId="4ADC2390" w:rsidR="00CF1AD1" w:rsidRPr="008070DB" w:rsidRDefault="00CF1AD1" w:rsidP="00CF1AD1">
            <w:pPr>
              <w:pStyle w:val="ListParagraph"/>
              <w:ind w:left="0"/>
              <w:jc w:val="both"/>
              <w:rPr>
                <w:sz w:val="18"/>
                <w:szCs w:val="18"/>
                <w:lang w:val="ro-MD"/>
              </w:rPr>
            </w:pPr>
            <w:r w:rsidRPr="008070DB">
              <w:rPr>
                <w:i/>
                <w:iCs/>
                <w:sz w:val="18"/>
                <w:szCs w:val="18"/>
                <w:lang w:val="ro-MD"/>
              </w:rPr>
              <w:t>riscul specific de corelare defavorabilă</w:t>
            </w:r>
            <w:r w:rsidRPr="008070DB">
              <w:rPr>
                <w:sz w:val="18"/>
                <w:szCs w:val="18"/>
                <w:lang w:val="ro-MD"/>
              </w:rPr>
              <w:t xml:space="preserve"> - apare atunci când expunerea viitoare față de o anumită contraparte este corelată pozitiv cu PD a contrapărții, ca urmare a tipului de tranzacții efectuate cu contrapartea. Se consideră că banca este expusă unui risc specific de corelare defavorabilă în cazul în care este de așteptat ca expunerea </w:t>
            </w:r>
            <w:r w:rsidRPr="008070DB">
              <w:rPr>
                <w:sz w:val="18"/>
                <w:szCs w:val="18"/>
                <w:lang w:val="ro-MD"/>
              </w:rPr>
              <w:lastRenderedPageBreak/>
              <w:t>viitoare față de o anumită contraparte să fie semnificativă atunci când probabilitatea de nerambursare de către contraparte este, de asemenea, ridicată.</w:t>
            </w:r>
          </w:p>
          <w:p w14:paraId="7CE79737" w14:textId="6A765965" w:rsidR="00CF1AD1" w:rsidRPr="008070DB" w:rsidRDefault="00CF1AD1" w:rsidP="00CF1AD1">
            <w:pPr>
              <w:pStyle w:val="ListParagraph"/>
              <w:ind w:left="0"/>
              <w:jc w:val="both"/>
              <w:rPr>
                <w:sz w:val="18"/>
                <w:szCs w:val="18"/>
                <w:lang w:val="ro-RO"/>
              </w:rPr>
            </w:pPr>
            <w:r w:rsidRPr="008070DB">
              <w:rPr>
                <w:sz w:val="18"/>
                <w:szCs w:val="18"/>
                <w:lang w:val="ro-MD"/>
              </w:rPr>
              <w:t>.......</w:t>
            </w:r>
          </w:p>
          <w:p w14:paraId="7DB3259D" w14:textId="77777777" w:rsidR="00CF1AD1" w:rsidRPr="008070DB" w:rsidRDefault="00CF1AD1" w:rsidP="00CF1AD1">
            <w:pPr>
              <w:jc w:val="center"/>
              <w:rPr>
                <w:i/>
                <w:iCs/>
                <w:color w:val="000000"/>
                <w:sz w:val="18"/>
                <w:szCs w:val="18"/>
                <w:shd w:val="clear" w:color="auto" w:fill="FFFFFF"/>
                <w:lang w:val="ro-RO" w:eastAsia="ro-MD"/>
              </w:rPr>
            </w:pPr>
          </w:p>
          <w:p w14:paraId="5DA0D219" w14:textId="4E110329" w:rsidR="00CF1AD1" w:rsidRPr="008070DB" w:rsidRDefault="00CF1AD1" w:rsidP="00CF1AD1">
            <w:pPr>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t>Secţiunea a 7-a</w:t>
            </w:r>
          </w:p>
          <w:p w14:paraId="7DA901F0" w14:textId="77777777" w:rsidR="00CF1AD1" w:rsidRPr="008070DB" w:rsidRDefault="00CF1AD1" w:rsidP="00CF1AD1">
            <w:pPr>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Riscul de corelare defavorabilă (Wrong-Way Risk)</w:t>
            </w:r>
          </w:p>
          <w:p w14:paraId="57BC53DD" w14:textId="78EF3CA7" w:rsidR="00CF1AD1" w:rsidRPr="008070DB" w:rsidRDefault="00CF1AD1" w:rsidP="00CF1AD1">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acorde atenția cuvenită expunerilor care conduc la un nivel semnificativ al riscului specific și al celui general de corelare defavorabilă.</w:t>
            </w:r>
          </w:p>
          <w:p w14:paraId="6EEA32E7" w14:textId="2E22874C" w:rsidR="00CF1AD1" w:rsidRPr="008070DB" w:rsidRDefault="00CF1AD1" w:rsidP="00CF1AD1">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Pentru a identifica riscul general de corelare defavorabilă, banca trebuie să conceapă simulări de criză și să analizeze scenarii pentru factorii de risc care sunt corelați în mod defavorabil cu bonitatea contrapărții. Aceste simulări vizează posibilitatea producerii unor șocuri severe atunci când legăturile dintre factorii de risc se schimbă. Banca trebuie să monitorizeze riscul general de corelare defavorabilă pe produs, pe regiune, pe sector industrial sau pe alte categorii relevante pentru activitatea sa.</w:t>
            </w:r>
          </w:p>
          <w:p w14:paraId="29AFBE28" w14:textId="2940899E" w:rsidR="00CF1AD1" w:rsidRPr="008070DB" w:rsidRDefault="00CF1AD1" w:rsidP="00CF1AD1">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24</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dispună de proceduri de identificare, monitorizare și control al cazurilor de risc specific de corelare defavorabilă pentru fiecare entitate juridică, începând de la inițierea tranzacției și continuând pe toată durata acesteia.</w:t>
            </w:r>
          </w:p>
          <w:p w14:paraId="561ED048" w14:textId="5FD606D0" w:rsidR="00CF1AD1" w:rsidRPr="008070DB" w:rsidRDefault="00CF1AD1" w:rsidP="00CF1AD1">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Băncile calculează cerințele de fonduri proprii pentru riscul de credit al contrapărții legate de tranzacțiile în cazul cărora a fost identificat un risc specific de corelare defavorabilă și atunci când există o legătură juridică între contraparte și emitentul instrumentului suport al instrumentului financiar derivat extrabursier sau al tranzacțiilor menționate la subpunctele </w:t>
            </w:r>
            <w:bookmarkStart w:id="30" w:name="_Hlk214535622"/>
            <w:r w:rsidRPr="008070DB">
              <w:rPr>
                <w:color w:val="000000"/>
                <w:sz w:val="18"/>
                <w:szCs w:val="18"/>
                <w:shd w:val="clear" w:color="auto" w:fill="FFFFFF"/>
                <w:lang w:val="ro-MD" w:eastAsia="ro-MD"/>
              </w:rPr>
              <w:t>9</w:t>
            </w:r>
            <w:r w:rsidRPr="008070DB">
              <w:rPr>
                <w:color w:val="000000"/>
                <w:sz w:val="18"/>
                <w:szCs w:val="18"/>
                <w:shd w:val="clear" w:color="auto" w:fill="FFFFFF"/>
                <w:vertAlign w:val="superscript"/>
                <w:lang w:val="ro-MD" w:eastAsia="ro-MD"/>
              </w:rPr>
              <w:t>1</w:t>
            </w:r>
            <w:r w:rsidRPr="008070DB">
              <w:rPr>
                <w:color w:val="000000"/>
                <w:sz w:val="18"/>
                <w:szCs w:val="18"/>
                <w:shd w:val="clear" w:color="auto" w:fill="FFFFFF"/>
                <w:lang w:val="ro-MD" w:eastAsia="ro-MD"/>
              </w:rPr>
              <w:t xml:space="preserve">.2. </w:t>
            </w:r>
            <w:bookmarkEnd w:id="30"/>
            <w:r w:rsidRPr="008070DB">
              <w:rPr>
                <w:color w:val="000000"/>
                <w:sz w:val="18"/>
                <w:szCs w:val="18"/>
                <w:shd w:val="clear" w:color="auto" w:fill="FFFFFF"/>
                <w:lang w:val="ro-MD" w:eastAsia="ro-MD"/>
              </w:rPr>
              <w:t>- 9</w:t>
            </w:r>
            <w:r w:rsidRPr="008070DB">
              <w:rPr>
                <w:color w:val="000000"/>
                <w:sz w:val="18"/>
                <w:szCs w:val="18"/>
                <w:shd w:val="clear" w:color="auto" w:fill="FFFFFF"/>
                <w:vertAlign w:val="superscript"/>
                <w:lang w:val="ro-MD" w:eastAsia="ro-MD"/>
              </w:rPr>
              <w:t>1</w:t>
            </w:r>
            <w:r w:rsidRPr="008070DB">
              <w:rPr>
                <w:color w:val="000000"/>
                <w:sz w:val="18"/>
                <w:szCs w:val="18"/>
                <w:shd w:val="clear" w:color="auto" w:fill="FFFFFF"/>
                <w:lang w:val="ro-MD" w:eastAsia="ro-MD"/>
              </w:rPr>
              <w:t>.5., în conformitate cu următoarele principii:</w:t>
            </w:r>
          </w:p>
          <w:p w14:paraId="77294C7E" w14:textId="761EF517" w:rsidR="00CF1AD1" w:rsidRPr="008070DB" w:rsidRDefault="00CF1AD1" w:rsidP="00CF1AD1">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25</w:t>
            </w:r>
            <w:r w:rsidRPr="008070DB">
              <w:rPr>
                <w:color w:val="000000"/>
                <w:sz w:val="18"/>
                <w:szCs w:val="18"/>
                <w:shd w:val="clear" w:color="auto" w:fill="FFFFFF"/>
                <w:lang w:val="ro-MD" w:eastAsia="ro-MD"/>
              </w:rPr>
              <w:t>.1. instrumentele care prezintă un risc specific de corelare defavorabilă nu se includ în același set de compensare cu alte tranzacții cu contrapartea și se tratează ca fiind, fiecare, un set de compensare separat;</w:t>
            </w:r>
          </w:p>
          <w:p w14:paraId="06688506" w14:textId="75841832" w:rsidR="00CF1AD1" w:rsidRPr="008070DB" w:rsidRDefault="00CF1AD1" w:rsidP="00CF1AD1">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25</w:t>
            </w:r>
            <w:r w:rsidRPr="008070DB">
              <w:rPr>
                <w:color w:val="000000"/>
                <w:sz w:val="18"/>
                <w:szCs w:val="18"/>
                <w:shd w:val="clear" w:color="auto" w:fill="FFFFFF"/>
                <w:lang w:val="ro-MD" w:eastAsia="ro-MD"/>
              </w:rPr>
              <w:t xml:space="preserve">.2. în orice astfel de set de compensare separat, valoarea expunerii pentru instrumentele de tip credit default swap având la bază o singură semnătură este egală </w:t>
            </w:r>
            <w:r w:rsidRPr="008070DB">
              <w:rPr>
                <w:color w:val="000000"/>
                <w:sz w:val="18"/>
                <w:szCs w:val="18"/>
                <w:shd w:val="clear" w:color="auto" w:fill="FFFFFF"/>
                <w:lang w:val="ro-MD" w:eastAsia="ro-MD"/>
              </w:rPr>
              <w:lastRenderedPageBreak/>
              <w:t>cu întreaga pierdere așteptată pentru restul valorii juste a instrumentelor-suport, în ipoteza că emitentul acestora este în lichidare;</w:t>
            </w:r>
          </w:p>
          <w:p w14:paraId="72C3E568" w14:textId="03D1CF72" w:rsidR="00CF1AD1" w:rsidRPr="008070DB" w:rsidRDefault="00CF1AD1" w:rsidP="00CF1AD1">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25</w:t>
            </w:r>
            <w:r w:rsidRPr="008070DB">
              <w:rPr>
                <w:color w:val="000000"/>
                <w:sz w:val="18"/>
                <w:szCs w:val="18"/>
                <w:shd w:val="clear" w:color="auto" w:fill="FFFFFF"/>
                <w:lang w:val="ro-MD" w:eastAsia="ro-MD"/>
              </w:rPr>
              <w:t>.3. pierderea în caz de nerambursare pentru banca care utilizează abordarea bazată pe metodele modelului intern este de 100 % pentru astfel de tranzacții swap;</w:t>
            </w:r>
          </w:p>
          <w:p w14:paraId="6044C9C1" w14:textId="44A76A63" w:rsidR="00CF1AD1" w:rsidRPr="008070DB" w:rsidRDefault="00CF1AD1" w:rsidP="00CF1AD1">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25</w:t>
            </w:r>
            <w:r w:rsidRPr="008070DB">
              <w:rPr>
                <w:color w:val="000000"/>
                <w:sz w:val="18"/>
                <w:szCs w:val="18"/>
                <w:shd w:val="clear" w:color="auto" w:fill="FFFFFF"/>
                <w:lang w:val="ro-MD" w:eastAsia="ro-MD"/>
              </w:rPr>
              <w:t>.4. pentru banca care utilizează abordarea prevăzută la Regulamentul nr.111/2018, ponderea de risc aplicabilă este cea a unei tranzacții negarantate;</w:t>
            </w:r>
          </w:p>
          <w:p w14:paraId="49FCDE6F" w14:textId="1C533A14" w:rsidR="00CF1AD1" w:rsidRPr="008070DB" w:rsidRDefault="00CF1AD1" w:rsidP="00CF1AD1">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25</w:t>
            </w:r>
            <w:r w:rsidRPr="008070DB">
              <w:rPr>
                <w:color w:val="000000"/>
                <w:sz w:val="18"/>
                <w:szCs w:val="18"/>
                <w:shd w:val="clear" w:color="auto" w:fill="FFFFFF"/>
                <w:lang w:val="ro-MD" w:eastAsia="ro-MD"/>
              </w:rPr>
              <w:t>.5. pentru toate celelalte tranzacții având la bază o singură semnătură din orice astfel de set de compensare separat, calculul valorii expunerii este efectuat ținând seama de ipoteza unei intrări subite în stare de nerambursare (</w:t>
            </w:r>
            <w:r w:rsidRPr="008070DB">
              <w:rPr>
                <w:i/>
                <w:iCs/>
                <w:color w:val="000000"/>
                <w:sz w:val="18"/>
                <w:szCs w:val="18"/>
                <w:shd w:val="clear" w:color="auto" w:fill="FFFFFF"/>
                <w:lang w:val="ro-MD" w:eastAsia="ro-MD"/>
              </w:rPr>
              <w:t>jump-to-default</w:t>
            </w:r>
            <w:r w:rsidRPr="008070DB">
              <w:rPr>
                <w:color w:val="000000"/>
                <w:sz w:val="18"/>
                <w:szCs w:val="18"/>
                <w:shd w:val="clear" w:color="auto" w:fill="FFFFFF"/>
                <w:lang w:val="ro-MD" w:eastAsia="ro-MD"/>
              </w:rPr>
              <w:t>) a obligațiilor-suport respective în cazul în care există o legătură de natură juridică între emitent și contraparte. Pentru tranzacțiile care au la bază un grup de semnături sau un indice, se aplică intrarea subită în stare de nerambursare (</w:t>
            </w:r>
            <w:r w:rsidRPr="008070DB">
              <w:rPr>
                <w:i/>
                <w:iCs/>
                <w:color w:val="000000"/>
                <w:sz w:val="18"/>
                <w:szCs w:val="18"/>
                <w:shd w:val="clear" w:color="auto" w:fill="FFFFFF"/>
                <w:lang w:val="ro-MD" w:eastAsia="ro-MD"/>
              </w:rPr>
              <w:t>jump-to-default</w:t>
            </w:r>
            <w:r w:rsidRPr="008070DB">
              <w:rPr>
                <w:color w:val="000000"/>
                <w:sz w:val="18"/>
                <w:szCs w:val="18"/>
                <w:shd w:val="clear" w:color="auto" w:fill="FFFFFF"/>
                <w:lang w:val="ro-MD" w:eastAsia="ro-MD"/>
              </w:rPr>
              <w:t>) a obligațiilor-suport respective, dacă sunt semnificative, în cazul în care există o legătură de natură juridică între emitent și contraparte;</w:t>
            </w:r>
          </w:p>
          <w:p w14:paraId="04EE22B1" w14:textId="1A47D549" w:rsidR="00CF1AD1" w:rsidRPr="008070DB" w:rsidRDefault="00CF1AD1" w:rsidP="00CF1AD1">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25</w:t>
            </w:r>
            <w:r w:rsidRPr="008070DB">
              <w:rPr>
                <w:color w:val="000000"/>
                <w:sz w:val="18"/>
                <w:szCs w:val="18"/>
                <w:shd w:val="clear" w:color="auto" w:fill="FFFFFF"/>
                <w:lang w:val="ro-MD" w:eastAsia="ro-MD"/>
              </w:rPr>
              <w:t xml:space="preserve">.6. în măsura în care se utilizează calcule ale riscului de piață efectuate pentru determinarea cerințelor de fonduri proprii pentru riscul de nerambursare, astfel cum se prevede în </w:t>
            </w:r>
            <w:r w:rsidRPr="008070DB">
              <w:rPr>
                <w:color w:val="000000"/>
                <w:sz w:val="18"/>
                <w:szCs w:val="18"/>
                <w:highlight w:val="lightGray"/>
                <w:shd w:val="clear" w:color="auto" w:fill="FFFFFF"/>
                <w:lang w:val="ro-MD" w:eastAsia="ro-MD"/>
              </w:rPr>
              <w:t>Regulamentul nr.114/2018</w:t>
            </w:r>
            <w:r w:rsidRPr="008070DB">
              <w:rPr>
                <w:color w:val="000000"/>
                <w:sz w:val="18"/>
                <w:szCs w:val="18"/>
                <w:shd w:val="clear" w:color="auto" w:fill="FFFFFF"/>
                <w:lang w:val="ro-MD" w:eastAsia="ro-MD"/>
              </w:rPr>
              <w:t xml:space="preserve">, sau pentru riscul de nerambursare utilizând un model intern pentru riscul de nerambursare, astfel cum se prevede în </w:t>
            </w:r>
            <w:r w:rsidRPr="008070DB">
              <w:rPr>
                <w:sz w:val="18"/>
                <w:szCs w:val="18"/>
                <w:highlight w:val="cyan"/>
                <w:lang w:val="ro-MD" w:eastAsia="ro-MD"/>
              </w:rPr>
              <w:t>Regulamentul nr.114/2018</w:t>
            </w:r>
            <w:r w:rsidRPr="008070DB">
              <w:rPr>
                <w:sz w:val="18"/>
                <w:szCs w:val="18"/>
                <w:lang w:val="ro-MD" w:eastAsia="ro-MD"/>
              </w:rPr>
              <w:t>,</w:t>
            </w:r>
            <w:r w:rsidRPr="008070DB">
              <w:rPr>
                <w:color w:val="000000"/>
                <w:sz w:val="18"/>
                <w:szCs w:val="18"/>
                <w:shd w:val="clear" w:color="auto" w:fill="FFFFFF"/>
                <w:lang w:val="ro-MD" w:eastAsia="ro-MD"/>
              </w:rPr>
              <w:t xml:space="preserve"> care conțin deja o ipoteză privind LGD, LGD din formula utilizată este de 100 %.</w:t>
            </w:r>
          </w:p>
          <w:p w14:paraId="3EB59606" w14:textId="475AF713" w:rsidR="00CF1AD1" w:rsidRPr="008070DB" w:rsidRDefault="00CF1AD1" w:rsidP="00CF1AD1">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Băncile trebuie să prezinte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rganul</w:t>
            </w:r>
            <w:r w:rsidR="001C3DB0">
              <w:rPr>
                <w:color w:val="000000"/>
                <w:sz w:val="18"/>
                <w:szCs w:val="18"/>
                <w:shd w:val="clear" w:color="auto" w:fill="FFFFFF"/>
                <w:lang w:val="ro-MD" w:eastAsia="ro-MD"/>
              </w:rPr>
              <w:t>ui</w:t>
            </w:r>
            <w:r w:rsidR="001C3DB0" w:rsidRPr="008070DB">
              <w:rPr>
                <w:color w:val="000000"/>
                <w:sz w:val="18"/>
                <w:szCs w:val="18"/>
                <w:shd w:val="clear" w:color="auto" w:fill="FFFFFF"/>
                <w:lang w:val="ro-MD" w:eastAsia="ro-MD"/>
              </w:rPr>
              <w:t xml:space="preserve"> de conducere </w:t>
            </w:r>
            <w:r w:rsidRPr="008070DB">
              <w:rPr>
                <w:color w:val="000000"/>
                <w:sz w:val="18"/>
                <w:szCs w:val="18"/>
                <w:shd w:val="clear" w:color="auto" w:fill="FFFFFF"/>
                <w:lang w:val="ro-MD" w:eastAsia="ro-MD"/>
              </w:rPr>
              <w:t>rapoarte periodice privind atât riscul specific, cât și riscul general de corelare defavorabilă și măsurile luate pentru administrarea acestor riscuri.</w:t>
            </w:r>
          </w:p>
          <w:p w14:paraId="36BA8BD6" w14:textId="77777777" w:rsidR="00CF1AD1" w:rsidRPr="008070DB" w:rsidRDefault="00CF1AD1" w:rsidP="00CF1AD1">
            <w:pPr>
              <w:jc w:val="both"/>
              <w:rPr>
                <w:color w:val="000000"/>
                <w:sz w:val="18"/>
                <w:szCs w:val="18"/>
                <w:shd w:val="clear" w:color="auto" w:fill="FFFFFF"/>
                <w:lang w:val="ro-MD" w:eastAsia="ro-MD"/>
              </w:rPr>
            </w:pPr>
          </w:p>
          <w:p w14:paraId="082699EA" w14:textId="77777777" w:rsidR="00CF1AD1" w:rsidRPr="008070DB" w:rsidRDefault="00CF1AD1" w:rsidP="00CF1AD1">
            <w:pPr>
              <w:jc w:val="both"/>
              <w:rPr>
                <w:color w:val="000000"/>
                <w:sz w:val="18"/>
                <w:szCs w:val="18"/>
                <w:shd w:val="clear" w:color="auto" w:fill="FFFFFF"/>
                <w:lang w:val="ro-MD" w:eastAsia="ro-MD"/>
              </w:rPr>
            </w:pPr>
          </w:p>
          <w:p w14:paraId="3992AB43" w14:textId="77777777" w:rsidR="00CF1AD1" w:rsidRPr="008070DB" w:rsidRDefault="00CF1AD1" w:rsidP="00CF1AD1">
            <w:pPr>
              <w:jc w:val="both"/>
              <w:rPr>
                <w:color w:val="000000"/>
                <w:sz w:val="18"/>
                <w:szCs w:val="18"/>
                <w:shd w:val="clear" w:color="auto" w:fill="FFFFFF"/>
                <w:lang w:val="ro-MD" w:eastAsia="ro-MD"/>
              </w:rPr>
            </w:pPr>
          </w:p>
          <w:p w14:paraId="0C9D5A18" w14:textId="0B961547" w:rsidR="00CF1AD1" w:rsidRPr="008070DB" w:rsidRDefault="00CF1AD1" w:rsidP="00CF1AD1">
            <w:pPr>
              <w:jc w:val="both"/>
              <w:rPr>
                <w:b/>
                <w:bCs/>
                <w:color w:val="000000"/>
                <w:sz w:val="18"/>
                <w:szCs w:val="18"/>
                <w:shd w:val="clear" w:color="auto" w:fill="FFFFFF"/>
                <w:lang w:val="ro-MD" w:eastAsia="ro-MD"/>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p w14:paraId="569F898D" w14:textId="77777777" w:rsidR="00236954" w:rsidRPr="008070DB" w:rsidRDefault="00236954" w:rsidP="00CF1AD1">
            <w:pPr>
              <w:autoSpaceDE w:val="0"/>
              <w:autoSpaceDN w:val="0"/>
              <w:adjustRightInd w:val="0"/>
              <w:spacing w:before="60" w:after="60"/>
              <w:jc w:val="center"/>
              <w:rPr>
                <w:rFonts w:eastAsiaTheme="minorHAnsi"/>
                <w:i/>
                <w:iCs/>
                <w:color w:val="000000"/>
                <w:sz w:val="18"/>
                <w:szCs w:val="18"/>
                <w:lang w:val="ro-MD" w:eastAsia="en-US"/>
                <w14:ligatures w14:val="standardContextual"/>
              </w:rPr>
            </w:pPr>
          </w:p>
        </w:tc>
        <w:tc>
          <w:tcPr>
            <w:tcW w:w="1554" w:type="dxa"/>
          </w:tcPr>
          <w:p w14:paraId="416CC395" w14:textId="66E5A7AF" w:rsidR="00236954" w:rsidRPr="00A96E09" w:rsidRDefault="00CF1AD1" w:rsidP="00236954">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04981169" w14:textId="77777777" w:rsidR="00236954" w:rsidRPr="00A96E09" w:rsidRDefault="00236954" w:rsidP="00236954">
            <w:pPr>
              <w:rPr>
                <w:sz w:val="18"/>
                <w:szCs w:val="18"/>
                <w:lang w:val="ro-MD"/>
              </w:rPr>
            </w:pPr>
          </w:p>
        </w:tc>
      </w:tr>
      <w:tr w:rsidR="00236954" w:rsidRPr="007C0793" w14:paraId="5419DB72" w14:textId="77777777" w:rsidTr="00C14AF6">
        <w:trPr>
          <w:trHeight w:val="918"/>
        </w:trPr>
        <w:tc>
          <w:tcPr>
            <w:tcW w:w="3866" w:type="dxa"/>
          </w:tcPr>
          <w:p w14:paraId="1785A61C" w14:textId="7017B2A3" w:rsidR="00752DB3" w:rsidRPr="00752DB3" w:rsidRDefault="00752DB3" w:rsidP="00752DB3">
            <w:pPr>
              <w:shd w:val="clear" w:color="auto" w:fill="FFFFFF"/>
              <w:spacing w:before="240" w:after="120"/>
              <w:rPr>
                <w:i/>
                <w:iCs/>
                <w:color w:val="000000"/>
                <w:sz w:val="18"/>
                <w:szCs w:val="18"/>
                <w:lang w:val="ro-MD" w:eastAsia="ro-MD"/>
              </w:rPr>
            </w:pPr>
            <w:r w:rsidRPr="00752DB3">
              <w:rPr>
                <w:i/>
                <w:iCs/>
                <w:color w:val="000000"/>
                <w:sz w:val="18"/>
                <w:szCs w:val="18"/>
                <w:lang w:val="ro-MD" w:eastAsia="ro-MD"/>
              </w:rPr>
              <w:lastRenderedPageBreak/>
              <w:t>Articolul 292</w:t>
            </w:r>
            <w:r>
              <w:rPr>
                <w:i/>
                <w:iCs/>
                <w:color w:val="000000"/>
                <w:sz w:val="18"/>
                <w:szCs w:val="18"/>
                <w:lang w:val="ro-MD" w:eastAsia="ro-MD"/>
              </w:rPr>
              <w:t xml:space="preserve"> </w:t>
            </w:r>
            <w:r w:rsidRPr="00752DB3">
              <w:rPr>
                <w:b/>
                <w:bCs/>
                <w:color w:val="000000"/>
                <w:sz w:val="18"/>
                <w:szCs w:val="18"/>
                <w:lang w:val="ro-MD" w:eastAsia="ro-MD"/>
              </w:rPr>
              <w:t>Integritatea procesului de modelare</w:t>
            </w:r>
          </w:p>
          <w:p w14:paraId="72539B7D" w14:textId="4DFF85EC"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(1) O instituție asigură integritatea procesului de modelare prevăzut la articolul 284, adoptând cel puțin următoarele măsuri:</w:t>
            </w:r>
          </w:p>
          <w:p w14:paraId="4AA11BE4" w14:textId="5EC17B3C"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(a) modelul reflectă condițiile și specificațiile tranzacțiilor în mod prompt, complet și prudent;</w:t>
            </w:r>
          </w:p>
          <w:p w14:paraId="225A4EA7" w14:textId="3FA19818"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(b) aceste condiții includ cel puțin cuantumurile noționale, scadența și activele de referință ale contractelor, contractele în marjă și acordurile de compensare;</w:t>
            </w:r>
          </w:p>
          <w:p w14:paraId="68B203AC" w14:textId="3554AEC1"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(c) aceste condiții și specificații se păstrează într-o bază de date care face obiectul unui audit formal și periodic;</w:t>
            </w:r>
          </w:p>
          <w:p w14:paraId="11B73300" w14:textId="0CC0FA62"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(d) procesul de recunoaștere a acordurilor de compensare prevede că personalul juridic trebuie să verifice caracterul executoriu din punct de vedere juridic al compensării în cadrul acordurilor respective;</w:t>
            </w:r>
          </w:p>
          <w:p w14:paraId="06C977A3" w14:textId="62523407"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(e) verificarea solicitată la litera (d) este introdusă de către o unitate independentă în baza de date menționată la litera (c);</w:t>
            </w:r>
          </w:p>
          <w:p w14:paraId="52737DBC" w14:textId="06A2D3C0"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(f) transmiterea datelor privind condițiile și specificațiile tranzacțiilor în vederea integrării în modelul de calcul al expunerii pozitive așteptate face obiectul auditului intern;</w:t>
            </w:r>
          </w:p>
          <w:p w14:paraId="523DEA1C" w14:textId="2FA2331C"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(g) există procese de reconciliere formală între model și sistemele de date-sursă pentru a verifica permanent dacă, la calculul expunerii pozitive așteptate, condițiile și specificațiile tranzacțiilor sunt luate în considerare în mod corect sau, cel puțin, prudent.</w:t>
            </w:r>
          </w:p>
          <w:p w14:paraId="59B274BD" w14:textId="2880E8DD"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 xml:space="preserve">(2)  Pentru a determina expunerile curente se utilizează date de piață curente. O instituție poate calibra modelul său de calcul al expunerii pozitive așteptate, utilizând fie date de piață istorice, fie date de piață implicite pentru a stabili parametrii proceselor stocastice-suport, cum ar fi deriva </w:t>
            </w:r>
            <w:r w:rsidRPr="00752DB3">
              <w:rPr>
                <w:color w:val="000000"/>
                <w:sz w:val="18"/>
                <w:szCs w:val="18"/>
                <w:lang w:val="ro-MD" w:eastAsia="ro-MD"/>
              </w:rPr>
              <w:lastRenderedPageBreak/>
              <w:t>(</w:t>
            </w:r>
            <w:r w:rsidRPr="00752DB3">
              <w:rPr>
                <w:i/>
                <w:iCs/>
                <w:color w:val="000000"/>
                <w:sz w:val="18"/>
                <w:szCs w:val="18"/>
                <w:lang w:val="ro-MD" w:eastAsia="ro-MD"/>
              </w:rPr>
              <w:t>drift</w:t>
            </w:r>
            <w:r w:rsidRPr="00752DB3">
              <w:rPr>
                <w:color w:val="000000"/>
                <w:sz w:val="18"/>
                <w:szCs w:val="18"/>
                <w:lang w:val="ro-MD" w:eastAsia="ro-MD"/>
              </w:rPr>
              <w:t>), volatilitatea și corelarea. Dacă o instituție utilizează date istorice, acestea trebuie să acopere cel puțin trei ani. Datele trebuie actualizate cel puțin trimestrial sau mai frecvent dacă acest lucru este necesar pentru a reflecta condițiile pieței.</w:t>
            </w:r>
          </w:p>
          <w:p w14:paraId="2E356016" w14:textId="77777777" w:rsidR="00752DB3" w:rsidRPr="00752DB3" w:rsidRDefault="00752DB3" w:rsidP="00752DB3">
            <w:pPr>
              <w:shd w:val="clear" w:color="auto" w:fill="FFFFFF"/>
              <w:spacing w:before="120"/>
              <w:jc w:val="both"/>
              <w:rPr>
                <w:color w:val="000000"/>
                <w:sz w:val="18"/>
                <w:szCs w:val="18"/>
                <w:lang w:val="ro-MD" w:eastAsia="ro-MD"/>
              </w:rPr>
            </w:pPr>
            <w:r w:rsidRPr="00752DB3">
              <w:rPr>
                <w:color w:val="000000"/>
                <w:sz w:val="18"/>
                <w:szCs w:val="18"/>
                <w:lang w:val="ro-MD" w:eastAsia="ro-MD"/>
              </w:rPr>
              <w:t>Pentru a calcula expunerea pozitivă așteptată efectivă utilizând o calibrare la condiții de criză, o instituție trebuie să calibreze expunerea pozitivă așteptată efectivă, utilizând fie date pe trei ani, care includ o perioadă de criză a marjelor de credit ale contrapărților sale, fie date de piață implicite dintr-o astfel de perioadă de criză.</w:t>
            </w:r>
          </w:p>
          <w:p w14:paraId="50B3F545" w14:textId="77777777" w:rsidR="00752DB3" w:rsidRPr="00752DB3" w:rsidRDefault="00752DB3" w:rsidP="00752DB3">
            <w:pPr>
              <w:shd w:val="clear" w:color="auto" w:fill="FFFFFF"/>
              <w:spacing w:before="120"/>
              <w:jc w:val="both"/>
              <w:rPr>
                <w:color w:val="000000"/>
                <w:sz w:val="18"/>
                <w:szCs w:val="18"/>
                <w:lang w:val="ro-MD" w:eastAsia="ro-MD"/>
              </w:rPr>
            </w:pPr>
            <w:r w:rsidRPr="00752DB3">
              <w:rPr>
                <w:color w:val="000000"/>
                <w:sz w:val="18"/>
                <w:szCs w:val="18"/>
                <w:lang w:val="ro-MD" w:eastAsia="ro-MD"/>
              </w:rPr>
              <w:t>În acest scop, instituția trebuie să aplice cerințele de la alineatele (3), (4) și (5).</w:t>
            </w:r>
          </w:p>
          <w:p w14:paraId="6B9CF846" w14:textId="5A7AA903"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(3) O instituție trebuie să demonstreze cel puțin o dată pe trimestru, într-un mod pe care autoritatea competentă îl consideră satisfăcător, că perioada de criză utilizată pentru calculul prevăzut de prezentul alineat coincide, pentru un eșantion reprezentativ al contrapărților sale ale căror marje de credit sunt tranzacționate, cu o perioadă de creștere a marjelor pentru instrumentele de tip credit default swap sau pentru alte credite (precum împrumuturi sau obligațiuni corporative). În situațiile în care nu dispune de date adecvate privind marjele de credit ale unei contrapărți, instituția asociază contrapărții respective date specifice privind marjele de credit, bazate pe regiune, pe rating intern și pe tipuri de activitate.</w:t>
            </w:r>
          </w:p>
          <w:p w14:paraId="55EBD81E" w14:textId="2C3470DD"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(4) Modelul de calcul al expunerii pozitive așteptate pentru toate contrapărțile trebuie să utilizeze date, fie istorice, fie implicite, care să includă date din perioada de criză a creditelor, într-un mod care corespunde metodei utilizate pentru calibrarea modelului respectiv cu date curente.</w:t>
            </w:r>
          </w:p>
          <w:p w14:paraId="432D11AC" w14:textId="4F161BA2"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 xml:space="preserve">(5) Pentru a evalua eficacitatea calibrării expunerii pozitive așteptate efective la condiții de criză, o instituție trebuie să creeze mai multe portofolii de referință, vulnerabile la principalii factori de risc </w:t>
            </w:r>
            <w:r w:rsidRPr="00752DB3">
              <w:rPr>
                <w:color w:val="000000"/>
                <w:sz w:val="18"/>
                <w:szCs w:val="18"/>
                <w:lang w:val="ro-MD" w:eastAsia="ro-MD"/>
              </w:rPr>
              <w:lastRenderedPageBreak/>
              <w:t>la care este expusă. Expunerea față de aceste portofolii de referință se calculează utilizând: (a) o metodologie corespunzătoare crizei, bazată pe valorile de piață curente și pe parametrii modelului calibrați la condiții de criză a pieței, și (b) expunerea generată în cursul perioadei de criză, dar aplicând metoda prevăzută în prezenta secțiune (valoarea de piață de la sfârșitul perioadei de criză, volatilități și corelări pe o perioadă de criză de 3 ani).</w:t>
            </w:r>
          </w:p>
          <w:p w14:paraId="330BD4F8" w14:textId="77777777" w:rsidR="00752DB3" w:rsidRPr="00752DB3" w:rsidRDefault="00752DB3" w:rsidP="00752DB3">
            <w:pPr>
              <w:shd w:val="clear" w:color="auto" w:fill="FFFFFF"/>
              <w:spacing w:before="120"/>
              <w:jc w:val="both"/>
              <w:rPr>
                <w:color w:val="000000"/>
                <w:sz w:val="18"/>
                <w:szCs w:val="18"/>
                <w:lang w:val="ro-MD" w:eastAsia="ro-MD"/>
              </w:rPr>
            </w:pPr>
            <w:r w:rsidRPr="00752DB3">
              <w:rPr>
                <w:color w:val="000000"/>
                <w:sz w:val="18"/>
                <w:szCs w:val="18"/>
                <w:lang w:val="ro-MD" w:eastAsia="ro-MD"/>
              </w:rPr>
              <w:t>Autoritățile competente trebuie să solicite unei instituții să-și ajusteze calibrarea la condiții de criză, dacă expunerile acestor portofolii de referință se abat substanțial unele față de altele.</w:t>
            </w:r>
          </w:p>
          <w:p w14:paraId="60AA3AE3" w14:textId="0B6D01F6"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(6) O instituție trebuie să supună modelul unui proces de validare, care este clar articulat în politicile și procedurile sale. Această validare trebuie:</w:t>
            </w:r>
          </w:p>
          <w:p w14:paraId="4C892419" w14:textId="6FF0E1DA"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(a) să specifice tipul de testare necesar pentru a asigura integritatea modelului și pentru a identifica condițiile în care ipotezele care stau la baza modelului sunt inadecvate și pot conduce, prin urmare, la o subestimare a expunerii pozitive așteptate;</w:t>
            </w:r>
          </w:p>
          <w:p w14:paraId="1933F4FB" w14:textId="07155DD6"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(b) să includă o reexaminare a exhaustivității modelului.</w:t>
            </w:r>
          </w:p>
          <w:p w14:paraId="24DFCD35" w14:textId="12BE9CC9"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(7) O instituție trebuie să monitorizeze riscurile relevante și să dispună de procese de ajustare a propriilor estimări ale expunerii pozitive așteptate efective, atunci când aceste riscuri devin semnificative. Pentru a se conforma prezentului alineat, instituția trebuie:</w:t>
            </w:r>
          </w:p>
          <w:p w14:paraId="2589C428" w14:textId="35919559"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(a) să-și identifice și să-și administreze expunerile la riscul specific de corelare defavorabilă specificat la articolul 291 alineatul (1) litera (b) și expunerile la riscul general de corelare defavorabilă specificat la articolul 291 alineatul (1) litera (a);</w:t>
            </w:r>
          </w:p>
          <w:p w14:paraId="242DD4DD" w14:textId="2D1B585E"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 xml:space="preserve">(b) pentru expunerile care prezintă un profil de risc în creștere după un an, să compare cu regularitate </w:t>
            </w:r>
            <w:r w:rsidRPr="00752DB3">
              <w:rPr>
                <w:color w:val="000000"/>
                <w:sz w:val="18"/>
                <w:szCs w:val="18"/>
                <w:lang w:val="ro-MD" w:eastAsia="ro-MD"/>
              </w:rPr>
              <w:lastRenderedPageBreak/>
              <w:t>estimarea unei măsurări relevante a expunerii pe durata unui an, cu aceeași măsurare a expunerii pe întreaga durată a expunerii;</w:t>
            </w:r>
          </w:p>
          <w:p w14:paraId="33D84E8B" w14:textId="0D19CA3F" w:rsidR="00752DB3" w:rsidRPr="00752DB3" w:rsidRDefault="00752DB3" w:rsidP="00752DB3">
            <w:pPr>
              <w:shd w:val="clear" w:color="auto" w:fill="FFFFFF"/>
              <w:jc w:val="both"/>
              <w:rPr>
                <w:color w:val="000000"/>
                <w:sz w:val="18"/>
                <w:szCs w:val="18"/>
                <w:lang w:val="ro-MD" w:eastAsia="ro-MD"/>
              </w:rPr>
            </w:pPr>
            <w:r w:rsidRPr="00752DB3">
              <w:rPr>
                <w:color w:val="000000"/>
                <w:sz w:val="18"/>
                <w:szCs w:val="18"/>
                <w:lang w:val="ro-MD" w:eastAsia="ro-MD"/>
              </w:rPr>
              <w:t>(c) pentru expunerile cu o scadență reziduală mai mică de un an, să compare cu regularitate costul de înlocuire (expunerea curentă) cu profilul expunerii realizate și să stocheze datele care permit o astfel de comparație.</w:t>
            </w:r>
          </w:p>
          <w:p w14:paraId="0E27EDD5" w14:textId="491B0B0B"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(8) O instituție trebuie să dispună de proceduri interne pentru a verifica dacă, înainte de includerea unei tranzacții într-un set de compensare, aceasta este acoperită de un contract de compensare executoriu din punct de vedere juridic care îndeplinește cerințele stabilite în secțiunea 7.</w:t>
            </w:r>
          </w:p>
          <w:p w14:paraId="04909994" w14:textId="431B42A2" w:rsidR="00752DB3"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(9) O instituție care utilizează garanții reale pentru a diminua riscul de credit al contrapărții trebuie să dispună de proceduri interne pentru a verifica dacă, înainte de recunoașterea efectului garanțiilor reale în calculele sale, garanțiile reale respectă cerințele de securitate juridică stabilite în capitolul 4.</w:t>
            </w:r>
          </w:p>
          <w:p w14:paraId="403CE13B" w14:textId="1A70CFBF" w:rsidR="00236954" w:rsidRPr="00752DB3" w:rsidRDefault="00752DB3" w:rsidP="00752DB3">
            <w:pPr>
              <w:shd w:val="clear" w:color="auto" w:fill="FFFFFF"/>
              <w:rPr>
                <w:color w:val="000000"/>
                <w:sz w:val="18"/>
                <w:szCs w:val="18"/>
                <w:lang w:val="ro-MD" w:eastAsia="ro-MD"/>
              </w:rPr>
            </w:pPr>
            <w:r w:rsidRPr="00752DB3">
              <w:rPr>
                <w:color w:val="000000"/>
                <w:sz w:val="18"/>
                <w:szCs w:val="18"/>
                <w:lang w:val="ro-MD" w:eastAsia="ro-MD"/>
              </w:rPr>
              <w:t>(10)</w:t>
            </w:r>
            <w:r>
              <w:rPr>
                <w:color w:val="000000"/>
                <w:sz w:val="18"/>
                <w:szCs w:val="18"/>
                <w:lang w:val="ro-MD" w:eastAsia="ro-MD"/>
              </w:rPr>
              <w:t xml:space="preserve"> </w:t>
            </w:r>
            <w:r w:rsidRPr="00752DB3">
              <w:rPr>
                <w:color w:val="000000"/>
                <w:sz w:val="18"/>
                <w:szCs w:val="18"/>
                <w:lang w:val="ro-MD" w:eastAsia="ro-MD"/>
              </w:rPr>
              <w:t>ABE monitorizează diversele practici din acest domeniu și emite, în conformitate cu articolul 16 din Regulamentul (UE) nr. 1093/2010, ghiduri cu privire la aplicarea prezentului articol.</w:t>
            </w:r>
          </w:p>
        </w:tc>
        <w:tc>
          <w:tcPr>
            <w:tcW w:w="4356" w:type="dxa"/>
          </w:tcPr>
          <w:p w14:paraId="2D207235" w14:textId="77777777" w:rsidR="00752DB3" w:rsidRPr="008070DB" w:rsidRDefault="00752DB3" w:rsidP="00752DB3">
            <w:pPr>
              <w:ind w:hanging="15"/>
              <w:jc w:val="center"/>
              <w:rPr>
                <w:i/>
                <w:iCs/>
                <w:color w:val="000000"/>
                <w:sz w:val="18"/>
                <w:szCs w:val="18"/>
                <w:shd w:val="clear" w:color="auto" w:fill="FFFFFF"/>
                <w:lang w:val="ro-MD" w:eastAsia="ro-MD"/>
              </w:rPr>
            </w:pPr>
            <w:bookmarkStart w:id="31" w:name="_Hlk214521273"/>
            <w:r w:rsidRPr="008070DB">
              <w:rPr>
                <w:i/>
                <w:iCs/>
                <w:color w:val="000000"/>
                <w:sz w:val="18"/>
                <w:szCs w:val="18"/>
                <w:shd w:val="clear" w:color="auto" w:fill="FFFFFF"/>
                <w:lang w:val="ro-MD" w:eastAsia="ro-MD"/>
              </w:rPr>
              <w:lastRenderedPageBreak/>
              <w:t>Secţiunea a 8-a</w:t>
            </w:r>
          </w:p>
          <w:bookmarkEnd w:id="31"/>
          <w:p w14:paraId="50CA255B" w14:textId="77777777" w:rsidR="00752DB3" w:rsidRPr="008070DB" w:rsidRDefault="00752DB3" w:rsidP="00752DB3">
            <w:pPr>
              <w:ind w:hanging="15"/>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Integritatea procesului de modelare</w:t>
            </w:r>
          </w:p>
          <w:p w14:paraId="7608068C" w14:textId="3D9C91D9" w:rsidR="00752DB3" w:rsidRPr="008070DB" w:rsidRDefault="00752DB3" w:rsidP="00752DB3">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27</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asigură integritatea procesului de modelare prevăzute la </w:t>
            </w:r>
            <w:r w:rsidRPr="008070DB">
              <w:rPr>
                <w:color w:val="000000"/>
                <w:sz w:val="18"/>
                <w:szCs w:val="18"/>
                <w:highlight w:val="lightGray"/>
                <w:shd w:val="clear" w:color="auto" w:fill="FFFFFF"/>
                <w:lang w:val="ro-MD" w:eastAsia="ro-MD"/>
              </w:rPr>
              <w:t>punctele 166-1</w:t>
            </w:r>
            <w:r w:rsidR="001C3DB0">
              <w:rPr>
                <w:color w:val="000000"/>
                <w:sz w:val="18"/>
                <w:szCs w:val="18"/>
                <w:highlight w:val="lightGray"/>
                <w:shd w:val="clear" w:color="auto" w:fill="FFFFFF"/>
                <w:lang w:val="ro-MD" w:eastAsia="ro-MD"/>
              </w:rPr>
              <w:t>7</w:t>
            </w:r>
            <w:r w:rsidRPr="008070DB">
              <w:rPr>
                <w:color w:val="000000"/>
                <w:sz w:val="18"/>
                <w:szCs w:val="18"/>
                <w:highlight w:val="lightGray"/>
                <w:shd w:val="clear" w:color="auto" w:fill="FFFFFF"/>
                <w:lang w:val="ro-MD" w:eastAsia="ro-MD"/>
              </w:rPr>
              <w:t>7,</w:t>
            </w:r>
            <w:r w:rsidRPr="008070DB">
              <w:rPr>
                <w:color w:val="000000"/>
                <w:sz w:val="18"/>
                <w:szCs w:val="18"/>
                <w:shd w:val="clear" w:color="auto" w:fill="FFFFFF"/>
                <w:lang w:val="ro-MD" w:eastAsia="ro-MD"/>
              </w:rPr>
              <w:t xml:space="preserve"> adoptând cel puțin următoarele măsuri:</w:t>
            </w:r>
          </w:p>
          <w:p w14:paraId="2CF017AE" w14:textId="4E9EFFB4"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.1. modelul reflectă condițiile și specificațiile tranzacțiilor în mod prompt, complet și prudent;</w:t>
            </w:r>
          </w:p>
          <w:p w14:paraId="11C93A91" w14:textId="4256D69B"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.2. aceste condiții includ cel puțin cuantumurile noționale, scadența și activele de referință ale contractelor, contractele în marjă și acordurile de compensare;</w:t>
            </w:r>
          </w:p>
          <w:p w14:paraId="6FD883AC" w14:textId="6C60FDAF"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.3. aceste condiții și specificații se păstrează într-o bază de date care face obiectul unui audit formal și periodic;</w:t>
            </w:r>
          </w:p>
          <w:p w14:paraId="604043C3" w14:textId="18E507DA"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.4. procesul de recunoaștere a acordurilor de compensare prevede că personalul juridic trebuie să verifice caracterul executoriu din punct de vedere juridic al compensării în cadrul acordurilor respective;</w:t>
            </w:r>
          </w:p>
          <w:p w14:paraId="1C74676F" w14:textId="27741A28"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.5. verificarea solicitată la subpunctul 236.4. este introdusă de către o unitate independentă în baza de date menționată la subpunctul 236.3.;</w:t>
            </w:r>
          </w:p>
          <w:p w14:paraId="38B0CDC3" w14:textId="2BB4F8A3"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.6. transmiterea datelor privind condițiile și specificațiile tranzacțiilor în vederea integrării în modelul de calcul al expunerii pozitive așteptate face obiectul auditului intern;</w:t>
            </w:r>
          </w:p>
          <w:p w14:paraId="71D293C5" w14:textId="645AFCC0"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27</w:t>
            </w:r>
            <w:r w:rsidRPr="008070DB">
              <w:rPr>
                <w:color w:val="000000"/>
                <w:sz w:val="18"/>
                <w:szCs w:val="18"/>
                <w:shd w:val="clear" w:color="auto" w:fill="FFFFFF"/>
                <w:lang w:val="ro-MD" w:eastAsia="ro-MD"/>
              </w:rPr>
              <w:t>.7. există procese de reconciliere formală între model și sistemele de date-sursă pentru a verifica permanent dacă, la calculul expunerii pozitive așteptate, condițiile și specificațiile tranzacțiilor sunt luate în considerare în mod corect sau, cel puțin, prudent.</w:t>
            </w:r>
          </w:p>
          <w:p w14:paraId="367BD5EB" w14:textId="508EDFA1" w:rsidR="00752DB3" w:rsidRPr="008070DB" w:rsidRDefault="00752DB3" w:rsidP="00752DB3">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28</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Pentru a determina expunerile curente se utilizează date de piață curente. Banca poate calibra modelul său de calcul al expunerii pozitive așteptate, utilizând fie date de piață istorice, fie date de piață implicite pentru a stabili parametrii proceselor stocastice-suport, cum ar fi deriva (</w:t>
            </w:r>
            <w:r w:rsidRPr="008070DB">
              <w:rPr>
                <w:i/>
                <w:iCs/>
                <w:color w:val="000000"/>
                <w:sz w:val="18"/>
                <w:szCs w:val="18"/>
                <w:shd w:val="clear" w:color="auto" w:fill="FFFFFF"/>
                <w:lang w:val="ro-MD" w:eastAsia="ro-MD"/>
              </w:rPr>
              <w:t>drift</w:t>
            </w:r>
            <w:r w:rsidRPr="008070DB">
              <w:rPr>
                <w:color w:val="000000"/>
                <w:sz w:val="18"/>
                <w:szCs w:val="18"/>
                <w:shd w:val="clear" w:color="auto" w:fill="FFFFFF"/>
                <w:lang w:val="ro-MD" w:eastAsia="ro-MD"/>
              </w:rPr>
              <w:t>), volatilitatea și corelarea. Dacă banca utilizează date istorice, acestea trebuie să acopere cel puțin trei ani. Datele trebuie actualizate cel puțin trimestrial sau mai frecvent dacă acest lucru este necesar pentru a reflecta condițiile pieței.</w:t>
            </w:r>
          </w:p>
          <w:p w14:paraId="47CA5AD5" w14:textId="47A1E1B8" w:rsidR="00752DB3" w:rsidRPr="008070DB" w:rsidRDefault="00752DB3" w:rsidP="00752DB3">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lastRenderedPageBreak/>
              <w:t>2</w:t>
            </w:r>
            <w:r w:rsidR="00CF39ED">
              <w:rPr>
                <w:b/>
                <w:bCs/>
                <w:color w:val="000000"/>
                <w:sz w:val="18"/>
                <w:szCs w:val="18"/>
                <w:shd w:val="clear" w:color="auto" w:fill="FFFFFF"/>
                <w:lang w:val="ro-MD" w:eastAsia="ro-MD"/>
              </w:rPr>
              <w:t>29</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Pentru a calcula expunerea pozitivă așteptată efectivă utilizând o calibrare la condiții de criză, banca trebuie să calibreze expunerea pozitivă așteptată efectivă, utilizând fie date pe trei ani, care includ o perioadă de criză a marjelor de credit ale contrapărților sale, fie date de piață implicite dintr-o astfel de perioadă de criză.</w:t>
            </w:r>
          </w:p>
          <w:p w14:paraId="390B7BA4" w14:textId="0915C59B"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 xml:space="preserve">În acest scop, banca trebuie să aplice cerințele de la </w:t>
            </w:r>
            <w:r w:rsidRPr="008070DB">
              <w:rPr>
                <w:color w:val="000000"/>
                <w:sz w:val="18"/>
                <w:szCs w:val="18"/>
                <w:highlight w:val="lightGray"/>
                <w:shd w:val="clear" w:color="auto" w:fill="FFFFFF"/>
                <w:lang w:val="ro-MD" w:eastAsia="ro-MD"/>
              </w:rPr>
              <w:t>punctele 23</w:t>
            </w:r>
            <w:r w:rsidR="00CF39ED">
              <w:rPr>
                <w:color w:val="000000"/>
                <w:sz w:val="18"/>
                <w:szCs w:val="18"/>
                <w:highlight w:val="lightGray"/>
                <w:shd w:val="clear" w:color="auto" w:fill="FFFFFF"/>
                <w:lang w:val="ro-MD" w:eastAsia="ro-MD"/>
              </w:rPr>
              <w:t>0</w:t>
            </w:r>
            <w:r w:rsidRPr="008070DB">
              <w:rPr>
                <w:color w:val="000000"/>
                <w:sz w:val="18"/>
                <w:szCs w:val="18"/>
                <w:highlight w:val="lightGray"/>
                <w:shd w:val="clear" w:color="auto" w:fill="FFFFFF"/>
                <w:lang w:val="ro-MD" w:eastAsia="ro-MD"/>
              </w:rPr>
              <w:t>-2</w:t>
            </w:r>
            <w:r w:rsidR="00CF39ED">
              <w:rPr>
                <w:color w:val="000000"/>
                <w:sz w:val="18"/>
                <w:szCs w:val="18"/>
                <w:highlight w:val="lightGray"/>
                <w:shd w:val="clear" w:color="auto" w:fill="FFFFFF"/>
                <w:lang w:val="ro-MD" w:eastAsia="ro-MD"/>
              </w:rPr>
              <w:t>3</w:t>
            </w:r>
            <w:r w:rsidRPr="008070DB">
              <w:rPr>
                <w:color w:val="000000"/>
                <w:sz w:val="18"/>
                <w:szCs w:val="18"/>
                <w:highlight w:val="lightGray"/>
                <w:shd w:val="clear" w:color="auto" w:fill="FFFFFF"/>
                <w:lang w:val="ro-MD" w:eastAsia="ro-MD"/>
              </w:rPr>
              <w:t>2.</w:t>
            </w:r>
          </w:p>
          <w:p w14:paraId="08930964" w14:textId="7E3EDC0C" w:rsidR="00752DB3" w:rsidRPr="008070DB" w:rsidRDefault="00752DB3" w:rsidP="00752DB3">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23</w:t>
            </w:r>
            <w:r w:rsidR="00CF39ED">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demonstreze cel puțin o dată pe trimestru, într-un mod pe care Banca Națională a Moldovei îl consideră satisfăcător, că perioada de criză utilizată pentru calculul prevăzut de prezentul alineat coincide, pentru un eșantion reprezentativ al contrapărților sale ale căror marje de credit sunt tranzacționate, cu o perioadă de creștere a marjelor pentru instrumentele de tip credit default swap sau pentru alte credite (precum împrumuturi sau obligațiuni corporative). În situațiile în care nu dispune de date adecvate privind marjele de credit ale unei contrapărți, banca asociază contrapărții respective date specifice privind marjele de credit, bazate pe regiune, pe rating intern și pe tipuri de activitate.</w:t>
            </w:r>
          </w:p>
          <w:p w14:paraId="0BDBE765" w14:textId="5438DDAE" w:rsidR="00752DB3" w:rsidRPr="008070DB" w:rsidRDefault="00752DB3" w:rsidP="00752DB3">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31</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Modelul de calcul al expunerii pozitive așteptate pentru toate contrapărțile trebuie să utilizeze date, fie istorice, fie implicite, care să includă date din perioada de criză a creditelor, într-un mod care corespunde metodei utilizate pentru calibrarea modelului respectiv cu date curente.</w:t>
            </w:r>
          </w:p>
          <w:p w14:paraId="0E48CBA9" w14:textId="3EEA986C" w:rsidR="00752DB3" w:rsidRPr="008070DB" w:rsidRDefault="00752DB3" w:rsidP="00752DB3">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Pentru a evalua eficacitatea calibrării expunerii pozitive așteptate efective la condiții de criză, banca trebuie să creeze mai multe portofolii de referință, vulnerabile la principalii factori de risc la care este expusă. Expunerea față de aceste portofolii de referință se calculează utilizând: </w:t>
            </w:r>
          </w:p>
          <w:p w14:paraId="19B9CE31" w14:textId="59436277"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32</w:t>
            </w:r>
            <w:r w:rsidRPr="008070DB">
              <w:rPr>
                <w:color w:val="000000"/>
                <w:sz w:val="18"/>
                <w:szCs w:val="18"/>
                <w:shd w:val="clear" w:color="auto" w:fill="FFFFFF"/>
                <w:lang w:val="ro-MD" w:eastAsia="ro-MD"/>
              </w:rPr>
              <w:t xml:space="preserve">.1. o metodologie corespunzătoare crizei, bazată pe valorile de piață curente și pe parametrii modelului calibrați la condiții de criză a pieței, și </w:t>
            </w:r>
          </w:p>
          <w:p w14:paraId="0827DF55" w14:textId="72FDAA53"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32</w:t>
            </w:r>
            <w:r w:rsidRPr="008070DB">
              <w:rPr>
                <w:color w:val="000000"/>
                <w:sz w:val="18"/>
                <w:szCs w:val="18"/>
                <w:shd w:val="clear" w:color="auto" w:fill="FFFFFF"/>
                <w:lang w:val="ro-MD" w:eastAsia="ro-MD"/>
              </w:rPr>
              <w:t>.2. expunerea generată în cursul perioadei de criză, dar aplicând metoda prevăzută în prezenta secțiune (valoarea de piață de la sfârșitul perioadei de criză, volatilități și corelări pe o perioadă de criză de 3 ani).</w:t>
            </w:r>
          </w:p>
          <w:p w14:paraId="7CAF75D3" w14:textId="2659A0E7" w:rsidR="00752DB3" w:rsidRPr="008070DB" w:rsidRDefault="00752DB3" w:rsidP="00752DB3">
            <w:pPr>
              <w:ind w:hanging="15"/>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lastRenderedPageBreak/>
              <w:t>2</w:t>
            </w:r>
            <w:r w:rsidR="00CF39ED">
              <w:rPr>
                <w:b/>
                <w:bCs/>
                <w:color w:val="000000"/>
                <w:sz w:val="18"/>
                <w:szCs w:val="18"/>
                <w:shd w:val="clear" w:color="auto" w:fill="FFFFFF"/>
                <w:lang w:val="ro-MD" w:eastAsia="ro-MD"/>
              </w:rPr>
              <w:t>33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Națională a Moldovei trebuie să solicite unei bănci să-și ajusteze calibrarea la condiții de criză, dacă expunerile acestor portofolii de referință se abat substanțial unele față de altele.</w:t>
            </w:r>
          </w:p>
          <w:p w14:paraId="72481776" w14:textId="36027B1A" w:rsidR="00752DB3" w:rsidRPr="008070DB" w:rsidRDefault="00752DB3" w:rsidP="00752DB3">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34</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supună modelul unui proces de validare, care este clar articulat în politicile și procedurile sale. Această validare trebuie:</w:t>
            </w:r>
          </w:p>
          <w:p w14:paraId="52B8F4CA" w14:textId="697ECCBE"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34</w:t>
            </w:r>
            <w:r w:rsidRPr="008070DB">
              <w:rPr>
                <w:color w:val="000000"/>
                <w:sz w:val="18"/>
                <w:szCs w:val="18"/>
                <w:shd w:val="clear" w:color="auto" w:fill="FFFFFF"/>
                <w:lang w:val="ro-MD" w:eastAsia="ro-MD"/>
              </w:rPr>
              <w:t>.1. să specifice tipul de testare necesar pentru a asigura integritatea modelului și pentru a identifica condițiile în care ipotezele care stau la baza modelului sunt inadecvate și pot conduce, prin urmare, la o subestimare a expunerii pozitive așteptate;</w:t>
            </w:r>
          </w:p>
          <w:p w14:paraId="1C93CB04" w14:textId="1FBF380E"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34</w:t>
            </w:r>
            <w:r w:rsidRPr="008070DB">
              <w:rPr>
                <w:color w:val="000000"/>
                <w:sz w:val="18"/>
                <w:szCs w:val="18"/>
                <w:shd w:val="clear" w:color="auto" w:fill="FFFFFF"/>
                <w:lang w:val="ro-MD" w:eastAsia="ro-MD"/>
              </w:rPr>
              <w:t>.2. să includă o reexaminare a exhaustivității modelului.</w:t>
            </w:r>
          </w:p>
          <w:p w14:paraId="6CE025ED" w14:textId="1A8BC631" w:rsidR="00752DB3" w:rsidRPr="008070DB" w:rsidRDefault="00752DB3" w:rsidP="00752DB3">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trebuie să monitorizeze riscurile relevante și să dispună de procese de ajustare a propriilor estimări ale expunerii pozitive așteptate efective, atunci când aceste riscuri devin semnificative. Pentru a se conforma prezentului punct, banca trebuie:</w:t>
            </w:r>
          </w:p>
          <w:p w14:paraId="6E1BEE41" w14:textId="1F1678E6"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35</w:t>
            </w:r>
            <w:r w:rsidRPr="008070DB">
              <w:rPr>
                <w:color w:val="000000"/>
                <w:sz w:val="18"/>
                <w:szCs w:val="18"/>
                <w:shd w:val="clear" w:color="auto" w:fill="FFFFFF"/>
                <w:lang w:val="ro-MD" w:eastAsia="ro-MD"/>
              </w:rPr>
              <w:t>.1. să-și identifice și să-și administreze expunerile la riscul specific de corelare defavorabilă specificat la punctul 3 și expunerile la riscul general de corelare defavorabilă specificat la punctul 3;</w:t>
            </w:r>
          </w:p>
          <w:p w14:paraId="409028E0" w14:textId="42565168"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35</w:t>
            </w:r>
            <w:r w:rsidRPr="008070DB">
              <w:rPr>
                <w:color w:val="000000"/>
                <w:sz w:val="18"/>
                <w:szCs w:val="18"/>
                <w:shd w:val="clear" w:color="auto" w:fill="FFFFFF"/>
                <w:lang w:val="ro-MD" w:eastAsia="ro-MD"/>
              </w:rPr>
              <w:t>.2. pentru expunerile care prezintă un profil de risc în creștere după un an, să compare cu regularitate estimarea unei măsurări relevante a expunerii pe durata unui an, cu aceeași măsurare a expunerii pe întreaga durată a expunerii;</w:t>
            </w:r>
          </w:p>
          <w:p w14:paraId="757CFD8D" w14:textId="29F293D5" w:rsidR="00752DB3" w:rsidRPr="008070DB" w:rsidRDefault="00752DB3" w:rsidP="00752DB3">
            <w:pPr>
              <w:ind w:hanging="15"/>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35</w:t>
            </w:r>
            <w:r w:rsidRPr="008070DB">
              <w:rPr>
                <w:color w:val="000000"/>
                <w:sz w:val="18"/>
                <w:szCs w:val="18"/>
                <w:shd w:val="clear" w:color="auto" w:fill="FFFFFF"/>
                <w:lang w:val="ro-MD" w:eastAsia="ro-MD"/>
              </w:rPr>
              <w:t>.3. pentru expunerile cu o scadență reziduală mai mică de un an, să compare cu regularitate costul de înlocuire (expunerea curentă) cu profilul expunerii realizate și să stocheze datele care permit o astfel de comparație.</w:t>
            </w:r>
          </w:p>
          <w:p w14:paraId="571804CE" w14:textId="23E72769" w:rsidR="00752DB3" w:rsidRPr="008070DB" w:rsidRDefault="00752DB3" w:rsidP="00752DB3">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trebuie să dispună de proceduri interne pentru a verifica dacă, înainte de includerea unei tranzacții într-un set de compensare, aceasta este acoperită de un contract de compensare executoriu din punct de vedere juridic care îndeplinește cerințele stabilite în </w:t>
            </w:r>
            <w:r w:rsidRPr="008070DB">
              <w:rPr>
                <w:color w:val="000000"/>
                <w:sz w:val="18"/>
                <w:szCs w:val="18"/>
                <w:highlight w:val="lightGray"/>
                <w:shd w:val="clear" w:color="auto" w:fill="FFFFFF"/>
                <w:lang w:val="ro-MD" w:eastAsia="ro-MD"/>
              </w:rPr>
              <w:t>capitolul VI.</w:t>
            </w:r>
          </w:p>
          <w:p w14:paraId="4F7D32F8" w14:textId="4DA10E8F" w:rsidR="00752DB3" w:rsidRPr="008070DB" w:rsidRDefault="00752DB3" w:rsidP="00752DB3">
            <w:pPr>
              <w:ind w:hanging="15"/>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37</w:t>
            </w:r>
            <w:r w:rsidRPr="008070DB">
              <w:rPr>
                <w:b/>
                <w:bCs/>
                <w:color w:val="000000"/>
                <w:sz w:val="18"/>
                <w:szCs w:val="18"/>
                <w:shd w:val="clear" w:color="auto" w:fill="FFFFFF"/>
                <w:lang w:val="ro-MD" w:eastAsia="ro-MD"/>
              </w:rPr>
              <w:t>.</w:t>
            </w:r>
            <w:r w:rsidRPr="008070DB">
              <w:rPr>
                <w:color w:val="000000"/>
                <w:sz w:val="18"/>
                <w:szCs w:val="18"/>
                <w:shd w:val="clear" w:color="auto" w:fill="FFFFFF"/>
                <w:lang w:val="ro-MD" w:eastAsia="ro-MD"/>
              </w:rPr>
              <w:t xml:space="preserve"> Banca</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care utilizează garanții reale pentru a diminua riscul de credit al contrapărții trebuie să dispună de proceduri interne pentru a verifica dacă, înainte de </w:t>
            </w:r>
            <w:r w:rsidRPr="008070DB">
              <w:rPr>
                <w:color w:val="000000"/>
                <w:sz w:val="18"/>
                <w:szCs w:val="18"/>
                <w:shd w:val="clear" w:color="auto" w:fill="FFFFFF"/>
                <w:lang w:val="ro-MD" w:eastAsia="ro-MD"/>
              </w:rPr>
              <w:lastRenderedPageBreak/>
              <w:t>recunoașterea efectului garanțiilor reale în calculele sale, garanțiile reale respectă cerințele de securitate juridică stabilite în Regulamentul nr.112/2018.</w:t>
            </w:r>
          </w:p>
          <w:p w14:paraId="51BC9DEE" w14:textId="77777777" w:rsidR="00236954" w:rsidRPr="008070DB" w:rsidRDefault="00236954"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2AD079B6"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885CDA8"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5BA28AE"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64EB111"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1FDAC20"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303E1ED"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71E78FCF"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3B98184"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7C00383C"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4E2DCEC"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6FA5701"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EB17871"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3642D43"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0169239D"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1BB8F34F"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30AA905B"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p w14:paraId="4C03A0C8" w14:textId="77777777" w:rsidR="00752DB3" w:rsidRPr="008070DB" w:rsidRDefault="00752DB3" w:rsidP="00752DB3">
            <w:pPr>
              <w:jc w:val="both"/>
              <w:rPr>
                <w:b/>
                <w:bCs/>
                <w:color w:val="000000"/>
                <w:sz w:val="18"/>
                <w:szCs w:val="18"/>
                <w:shd w:val="clear" w:color="auto" w:fill="FFFFFF"/>
                <w:lang w:val="ro-MD" w:eastAsia="ro-MD"/>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p w14:paraId="7A997756" w14:textId="77777777" w:rsidR="00752DB3" w:rsidRPr="008070DB" w:rsidRDefault="00752DB3" w:rsidP="00752DB3">
            <w:pPr>
              <w:autoSpaceDE w:val="0"/>
              <w:autoSpaceDN w:val="0"/>
              <w:adjustRightInd w:val="0"/>
              <w:spacing w:before="60" w:after="60"/>
              <w:ind w:hanging="15"/>
              <w:jc w:val="center"/>
              <w:rPr>
                <w:rFonts w:eastAsiaTheme="minorHAnsi"/>
                <w:i/>
                <w:iCs/>
                <w:color w:val="000000"/>
                <w:sz w:val="18"/>
                <w:szCs w:val="18"/>
                <w:lang w:val="ro-MD" w:eastAsia="en-US"/>
                <w14:ligatures w14:val="standardContextual"/>
              </w:rPr>
            </w:pPr>
          </w:p>
        </w:tc>
        <w:tc>
          <w:tcPr>
            <w:tcW w:w="1554" w:type="dxa"/>
          </w:tcPr>
          <w:p w14:paraId="6C841573" w14:textId="41279977" w:rsidR="00236954" w:rsidRPr="00A96E09" w:rsidRDefault="00752DB3" w:rsidP="00236954">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2237DCAF" w14:textId="77777777" w:rsidR="00236954" w:rsidRPr="00A96E09" w:rsidRDefault="00236954" w:rsidP="00236954">
            <w:pPr>
              <w:rPr>
                <w:sz w:val="18"/>
                <w:szCs w:val="18"/>
                <w:lang w:val="ro-MD"/>
              </w:rPr>
            </w:pPr>
          </w:p>
        </w:tc>
      </w:tr>
      <w:tr w:rsidR="00236954" w:rsidRPr="00EB7E01" w14:paraId="68A43DF7" w14:textId="77777777" w:rsidTr="00C14AF6">
        <w:trPr>
          <w:trHeight w:val="918"/>
        </w:trPr>
        <w:tc>
          <w:tcPr>
            <w:tcW w:w="3866" w:type="dxa"/>
          </w:tcPr>
          <w:p w14:paraId="1C79171E" w14:textId="399BDE4C" w:rsidR="00471B8A" w:rsidRPr="00471B8A" w:rsidRDefault="00471B8A" w:rsidP="00471B8A">
            <w:pPr>
              <w:pStyle w:val="title-article-norm"/>
              <w:spacing w:before="0"/>
              <w:jc w:val="left"/>
              <w:rPr>
                <w:b/>
                <w:bCs/>
                <w:sz w:val="18"/>
                <w:szCs w:val="18"/>
                <w:lang w:val="ro-MD"/>
              </w:rPr>
            </w:pPr>
            <w:r w:rsidRPr="00471B8A">
              <w:rPr>
                <w:sz w:val="18"/>
                <w:szCs w:val="18"/>
                <w:lang w:val="ro-MD"/>
              </w:rPr>
              <w:lastRenderedPageBreak/>
              <w:t xml:space="preserve">Articolul 293 </w:t>
            </w:r>
            <w:r w:rsidRPr="00471B8A">
              <w:rPr>
                <w:b/>
                <w:bCs/>
                <w:sz w:val="18"/>
                <w:szCs w:val="18"/>
                <w:lang w:val="ro-MD"/>
              </w:rPr>
              <w:t>Cerințe privind sistemul de gestionare a riscului</w:t>
            </w:r>
          </w:p>
          <w:p w14:paraId="67C04E73" w14:textId="23EF1CF7"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(1) O instituție respectă următoarele cerințe:</w:t>
            </w:r>
          </w:p>
          <w:p w14:paraId="1207ACEE" w14:textId="2736EA1A"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(a) îndeplinește cerințele calitative stabilite în partea a treia titlul IV capitolul 5;</w:t>
            </w:r>
          </w:p>
          <w:p w14:paraId="5089D2BD" w14:textId="00BFAE08"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(b) desfășoară un program periodic de testare ex-post, comparând măsurările riscului generate de model cu măsurările riscului realizate și modificările ipotetice bazate pe pozițiile statice cu măsurările realizate;</w:t>
            </w:r>
          </w:p>
          <w:p w14:paraId="3E6CEEBA" w14:textId="5484206D"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lastRenderedPageBreak/>
              <w:t>(c) efectuează o validare inițială și o reexaminare periodică a modelului său de calcul al expunerii la riscul de credit al contrapărții, precum și a măsurărilor riscului generate de aceasta. Validarea și reexaminarea sunt independente de dezvoltarea modelului;</w:t>
            </w:r>
          </w:p>
          <w:p w14:paraId="04197226" w14:textId="638510AD"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(d)</w:t>
            </w:r>
            <w:r>
              <w:rPr>
                <w:i w:val="0"/>
                <w:iCs w:val="0"/>
                <w:sz w:val="18"/>
                <w:szCs w:val="18"/>
                <w:lang w:val="ro-MD"/>
              </w:rPr>
              <w:t xml:space="preserve"> </w:t>
            </w:r>
            <w:r w:rsidRPr="00471B8A">
              <w:rPr>
                <w:i w:val="0"/>
                <w:iCs w:val="0"/>
                <w:sz w:val="18"/>
                <w:szCs w:val="18"/>
                <w:lang w:val="ro-MD"/>
              </w:rPr>
              <w:t>organul de conducere și conducerea superioară trebuie să fie implicate în procesul de control al riscului și să se asigure că sunt alocate resurse adecvate pentru controlul riscului de credit și al riscului de credit al contrapărții. În acest sens, rapoartele zilnice elaborate de unitatea independentă de control al riscului, înființată în conformitate cu articolul 287 alineatul (1) litera (a), trebuie să fie analizate de un nivel al conducerii cu o poziție ierarhică și o autoritate suficiente pentru a impune atât reduceri ale pozițiilor luate în mod individual de personalul care tranzacționează, cât și reduceri ale expunerii globale la risc a instituției;</w:t>
            </w:r>
          </w:p>
          <w:p w14:paraId="3D1C357B" w14:textId="02DD9FE8"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(e) modelul intern de măsurare a riscului trebuie să fie integrat în procesul zilnic de gestionare a riscurilor al instituției;</w:t>
            </w:r>
          </w:p>
          <w:p w14:paraId="7312EFBF" w14:textId="0B4C3FB5"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(f) sistemul de măsurare a riscului trebuie să fie utilizat în strânsă legătură cu limitele interne de tranzacționare și ale expunerii. În acest sens, limitele expunerii trebuie să fie corelate cu modelul de măsurare a riscului al instituției într-un mod care este consecvent în timp și corect înțeles de personalul care tranzacționează, de administratorii de credite și de conducerea superioară;</w:t>
            </w:r>
          </w:p>
          <w:p w14:paraId="4A1BF466" w14:textId="0734AD9E"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 xml:space="preserve">(g) instituția trebuie să se asigure că sistemul său de gestionare a riscurilor este bine formalizat. În special, aceasta trebuie să dispună de un set formalizat de politici, controale și proceduri interne privind funcționarea sistemului de </w:t>
            </w:r>
            <w:r w:rsidRPr="00471B8A">
              <w:rPr>
                <w:i w:val="0"/>
                <w:iCs w:val="0"/>
                <w:sz w:val="18"/>
                <w:szCs w:val="18"/>
                <w:lang w:val="ro-MD"/>
              </w:rPr>
              <w:lastRenderedPageBreak/>
              <w:t>măsurare a riscului, precum și de măsuri de asigurare a respectării acestor politici;</w:t>
            </w:r>
          </w:p>
          <w:p w14:paraId="002B3523" w14:textId="0AF54CFA"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(h) în cadrul procesului de audit intern al instituției trebuie efectuată cu regularitate o reexaminare independentă a sistemului de măsurare a riscului. Această reexaminare include atât activitatea unităților care derulează tranzacții, cât și pe cea a unității independente de control al riscului. La intervale regulate (cel puțin o dată pe an), trebuie să aibă loc o reexaminare a procesului global de gestionare a riscurilor, care să vizeze, în mod specific, cel puțin toate elementele menționate la articolul 288;</w:t>
            </w:r>
          </w:p>
          <w:p w14:paraId="2AE3AF62" w14:textId="4E68B6B4"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(i)</w:t>
            </w:r>
            <w:r>
              <w:rPr>
                <w:i w:val="0"/>
                <w:iCs w:val="0"/>
                <w:sz w:val="18"/>
                <w:szCs w:val="18"/>
                <w:lang w:val="ro-MD"/>
              </w:rPr>
              <w:t xml:space="preserve"> </w:t>
            </w:r>
            <w:r w:rsidRPr="00471B8A">
              <w:rPr>
                <w:i w:val="0"/>
                <w:iCs w:val="0"/>
                <w:sz w:val="18"/>
                <w:szCs w:val="18"/>
                <w:lang w:val="ro-MD"/>
              </w:rPr>
              <w:t>validarea permanentă a modelelor de calcul al riscului de credit al contrapărții, inclusiv testarea ex-post, trebuie reexaminată periodic de un nivel al conducerii care are suficientă autoritate pentru a decide măsurile care urmează să fie luate pentru a remedia deficiențele modelelor.</w:t>
            </w:r>
          </w:p>
          <w:p w14:paraId="60A1D251" w14:textId="68B65DD6"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(2)</w:t>
            </w:r>
            <w:r>
              <w:rPr>
                <w:i w:val="0"/>
                <w:iCs w:val="0"/>
                <w:sz w:val="18"/>
                <w:szCs w:val="18"/>
                <w:lang w:val="ro-MD"/>
              </w:rPr>
              <w:t xml:space="preserve"> </w:t>
            </w:r>
            <w:r w:rsidRPr="00471B8A">
              <w:rPr>
                <w:i w:val="0"/>
                <w:iCs w:val="0"/>
                <w:sz w:val="18"/>
                <w:szCs w:val="18"/>
                <w:lang w:val="ro-MD"/>
              </w:rPr>
              <w:t>Autoritățile competente țin seama de măsura în care o instituție îndeplinește cerințele de la alineatul (1), atunci când stabilesc nivelul lui alfa, prevăzut la articolul 284 alineatul (4). Numai instituțiile care respectă pe deplin aceste cerințe sunt eligibile pentru aplicarea factorului de multiplicare minim.</w:t>
            </w:r>
          </w:p>
          <w:p w14:paraId="2DF34BD3" w14:textId="6338C1DE"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(3) O instituție trebuie să formalizeze procesul de validare inițială și apoi permanentă a modelului său de calcul a expunerii la riscul de credit al contrapărții și calculul măsurărilor riscului generate de modele la un nivel de detaliere care permite unei părți terțe să recreeze analiza și, respectiv, măsurările riscului. Documentația respectivă stabilește frecvența cu care se efectuează analiza testării ex-post și orice validări permanente, modul în care se efectuează validarea în ceea ce privește fluxurile de date și portofoliile, precum și analizele care sunt utilizate.</w:t>
            </w:r>
          </w:p>
          <w:p w14:paraId="39C1825D" w14:textId="7A4ABCFB"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lastRenderedPageBreak/>
              <w:t>(4) O instituție trebuie să definească criteriile conform cărora evaluează modelele sale de calcul al expunerii la riscul de credit al contrapărții și modelele care generează date de intrare pentru calculul expunerii și să dispună de o politică scrisă care descrie procesul prin care funcționarea inacceptabilă a modelului urmează să fie identificată și remediată.</w:t>
            </w:r>
          </w:p>
          <w:p w14:paraId="1EED01D6" w14:textId="4AD0472F" w:rsidR="00471B8A"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(5) O instituție trebuie să definească modul în care sunt construite portofoliile reprezentative ale contrapărților în scopul validării unui model de calcul al expunerii la riscul de credit al contrapărții și a măsurărilor riscului efectuate de acesta.</w:t>
            </w:r>
          </w:p>
          <w:p w14:paraId="2BDF765F" w14:textId="457C802C" w:rsidR="00236954" w:rsidRPr="00471B8A" w:rsidRDefault="00471B8A" w:rsidP="00471B8A">
            <w:pPr>
              <w:pStyle w:val="title-article-norm"/>
              <w:spacing w:before="0"/>
              <w:jc w:val="left"/>
              <w:rPr>
                <w:i w:val="0"/>
                <w:iCs w:val="0"/>
                <w:sz w:val="18"/>
                <w:szCs w:val="18"/>
                <w:lang w:val="ro-MD"/>
              </w:rPr>
            </w:pPr>
            <w:r w:rsidRPr="00471B8A">
              <w:rPr>
                <w:i w:val="0"/>
                <w:iCs w:val="0"/>
                <w:sz w:val="18"/>
                <w:szCs w:val="18"/>
                <w:lang w:val="ro-MD"/>
              </w:rPr>
              <w:t>(6) Pentru validarea modelelor de calcul al expunerii la riscul de credit al contrapărții și a măsurărilor riscului efectuate de acestea care produc distribuțiile previzionate se iau în considerare mai multe statistici ale distribuției previzionate.</w:t>
            </w:r>
          </w:p>
        </w:tc>
        <w:tc>
          <w:tcPr>
            <w:tcW w:w="4356" w:type="dxa"/>
          </w:tcPr>
          <w:p w14:paraId="620F90BD" w14:textId="77777777" w:rsidR="00471B8A" w:rsidRPr="008070DB" w:rsidRDefault="00471B8A" w:rsidP="0099488A">
            <w:pPr>
              <w:ind w:hanging="15"/>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9-a</w:t>
            </w:r>
          </w:p>
          <w:p w14:paraId="0A3097A0" w14:textId="77777777" w:rsidR="00471B8A" w:rsidRPr="008070DB" w:rsidRDefault="00471B8A" w:rsidP="0099488A">
            <w:pPr>
              <w:ind w:hanging="15"/>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Cerințe privind sistemul de gestionare a riscului</w:t>
            </w:r>
          </w:p>
          <w:p w14:paraId="05359D5C" w14:textId="692ACCA5" w:rsidR="00471B8A" w:rsidRPr="008070DB" w:rsidRDefault="00471B8A" w:rsidP="0099488A">
            <w:pPr>
              <w:ind w:hanging="15"/>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38</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respectă următoarele cerințe:</w:t>
            </w:r>
          </w:p>
          <w:p w14:paraId="74E289CA" w14:textId="5A3246BD"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.1. desfășoară un program periodic de testare ex-post, comparând măsurările riscului generate de model cu măsurările riscului realizate și modificările ipotetice bazate pe pozițiile statice cu măsurările realizate;</w:t>
            </w:r>
          </w:p>
          <w:p w14:paraId="31CD1381" w14:textId="3B540547"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.2. efectuează o validare inițială și o reexaminare periodică a modelului său de calcul al expunerii la riscul de credit al contrapărții, precum și a măsurărilor riscului generate de aceasta. Validarea și reexaminarea sunt independente de dezvoltarea modelului;</w:t>
            </w:r>
          </w:p>
          <w:p w14:paraId="2371FEED" w14:textId="3A9411F7"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lastRenderedPageBreak/>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.3. organul de conducere trebuie să fie implicate în procesul de control al riscului și să se asigure că sunt alocate resurse adecvate pentru controlul riscului</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de credit și al riscului de credit al contrapărții. În acest sens, rapoartele zilnice elaborate de unitatea independentă de control al riscului, înființată în conformitate </w:t>
            </w:r>
            <w:r w:rsidRPr="008070DB">
              <w:rPr>
                <w:color w:val="000000"/>
                <w:sz w:val="18"/>
                <w:szCs w:val="18"/>
                <w:highlight w:val="lightGray"/>
                <w:shd w:val="clear" w:color="auto" w:fill="FFFFFF"/>
                <w:lang w:val="ro-MD" w:eastAsia="ro-MD"/>
              </w:rPr>
              <w:t>cu punctul 20</w:t>
            </w:r>
            <w:r w:rsidR="00CF39ED">
              <w:rPr>
                <w:color w:val="000000"/>
                <w:sz w:val="18"/>
                <w:szCs w:val="18"/>
                <w:highlight w:val="lightGray"/>
                <w:shd w:val="clear" w:color="auto" w:fill="FFFFFF"/>
                <w:lang w:val="ro-MD" w:eastAsia="ro-MD"/>
              </w:rPr>
              <w:t>1</w:t>
            </w:r>
            <w:r w:rsidRPr="008070DB">
              <w:rPr>
                <w:color w:val="000000"/>
                <w:sz w:val="18"/>
                <w:szCs w:val="18"/>
                <w:highlight w:val="lightGray"/>
                <w:shd w:val="clear" w:color="auto" w:fill="FFFFFF"/>
                <w:lang w:val="ro-MD" w:eastAsia="ro-MD"/>
              </w:rPr>
              <w:t>.1.</w:t>
            </w:r>
            <w:r w:rsidRPr="008070DB">
              <w:rPr>
                <w:color w:val="000000"/>
                <w:sz w:val="18"/>
                <w:szCs w:val="18"/>
                <w:shd w:val="clear" w:color="auto" w:fill="FFFFFF"/>
                <w:lang w:val="ro-MD" w:eastAsia="ro-MD"/>
              </w:rPr>
              <w:t>, trebuie să fie analizate de un nivel al conducerii cu o poziție ierarhică și o autoritate suficiente pentru a impune atât reduceri ale pozițiilor luate în mod individual de personalul care tranzacționează, cât și reduceri ale expunerii globale la risc a băncii;</w:t>
            </w:r>
          </w:p>
          <w:p w14:paraId="674D9360" w14:textId="2EB400B8"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.4. modelul intern de măsurare a riscului trebuie să fie integrat în procesul zilnic de gestionare a riscurilor al băncii;</w:t>
            </w:r>
          </w:p>
          <w:p w14:paraId="261BBC71" w14:textId="1441FE65"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 xml:space="preserve">.5. sistemul de măsurare a riscului trebuie să fie utilizat în strânsă legătură cu limitele interne de tranzacționare și ale expunerii. În acest sens, limitele expunerii trebuie să fie corelate cu modelul de măsurare a riscului al băncii într-un mod care este consecvent în timp și corect înțeles de personalul care tranzacționează, de administratorii de credite și de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rganul de conducere</w:t>
            </w:r>
            <w:r w:rsidRPr="008070DB">
              <w:rPr>
                <w:color w:val="000000"/>
                <w:sz w:val="18"/>
                <w:szCs w:val="18"/>
                <w:shd w:val="clear" w:color="auto" w:fill="FFFFFF"/>
                <w:lang w:val="ro-MD" w:eastAsia="ro-MD"/>
              </w:rPr>
              <w:t>;</w:t>
            </w:r>
          </w:p>
          <w:p w14:paraId="11190A7A" w14:textId="62C349E7"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.6. banca trebuie să se asigure că sistemul său de gestionare a riscurilor este bine formalizat. În special, aceasta trebuie să dispună de un set formalizat de politici, controale și proceduri interne privind funcționarea sistemului de măsurare a riscului, precum și de măsuri de asigurare a respectării acestor politici;</w:t>
            </w:r>
          </w:p>
          <w:p w14:paraId="08B3B27B" w14:textId="6DC34A3B"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 xml:space="preserve">.7. în cadrul procesului de audit intern al băncii trebuie efectuată cu regularitate o reexaminare independentă a sistemului de măsurare a riscului. Această reexaminare include atât activitatea unităților care derulează tranzacții, cât și pe cea a unității independente de control al riscului. La intervale regulate (cel puțin o dată pe an), trebuie să aibă loc o reexaminare a procesului global de gestionare a riscurilor, care să vizeze, în mod specific, cel puțin toate elementele menționate la </w:t>
            </w:r>
            <w:r w:rsidRPr="008070DB">
              <w:rPr>
                <w:color w:val="000000"/>
                <w:sz w:val="18"/>
                <w:szCs w:val="18"/>
                <w:highlight w:val="lightGray"/>
                <w:shd w:val="clear" w:color="auto" w:fill="FFFFFF"/>
                <w:lang w:val="ro-MD" w:eastAsia="ro-MD"/>
              </w:rPr>
              <w:t>punctul 2</w:t>
            </w:r>
            <w:r w:rsidR="00CF39ED">
              <w:rPr>
                <w:color w:val="000000"/>
                <w:sz w:val="18"/>
                <w:szCs w:val="18"/>
                <w:highlight w:val="lightGray"/>
                <w:shd w:val="clear" w:color="auto" w:fill="FFFFFF"/>
                <w:lang w:val="ro-MD" w:eastAsia="ro-MD"/>
              </w:rPr>
              <w:t>05</w:t>
            </w:r>
            <w:r w:rsidRPr="008070DB">
              <w:rPr>
                <w:color w:val="000000"/>
                <w:sz w:val="18"/>
                <w:szCs w:val="18"/>
                <w:highlight w:val="lightGray"/>
                <w:shd w:val="clear" w:color="auto" w:fill="FFFFFF"/>
                <w:lang w:val="ro-MD" w:eastAsia="ro-MD"/>
              </w:rPr>
              <w:t>;</w:t>
            </w:r>
          </w:p>
          <w:p w14:paraId="70D2C916" w14:textId="66D22A40" w:rsidR="00471B8A" w:rsidRPr="008070DB" w:rsidRDefault="00471B8A" w:rsidP="0099488A">
            <w:pPr>
              <w:ind w:hanging="15"/>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 xml:space="preserve">.8. validarea permanentă a modelelor de calcul al riscului de credit al contrapărții, inclusiv testarea ex-post, trebuie reexaminată periodic de </w:t>
            </w:r>
            <w:r w:rsidR="001C3DB0">
              <w:rPr>
                <w:color w:val="000000"/>
                <w:sz w:val="18"/>
                <w:szCs w:val="18"/>
                <w:shd w:val="clear" w:color="auto" w:fill="FFFFFF"/>
                <w:lang w:val="ro-MD" w:eastAsia="ro-MD"/>
              </w:rPr>
              <w:t>o</w:t>
            </w:r>
            <w:r w:rsidR="001C3DB0" w:rsidRPr="008070DB">
              <w:rPr>
                <w:color w:val="000000"/>
                <w:sz w:val="18"/>
                <w:szCs w:val="18"/>
                <w:shd w:val="clear" w:color="auto" w:fill="FFFFFF"/>
                <w:lang w:val="ro-MD" w:eastAsia="ro-MD"/>
              </w:rPr>
              <w:t xml:space="preserve">rganul de conducere </w:t>
            </w:r>
            <w:r w:rsidRPr="008070DB">
              <w:rPr>
                <w:color w:val="000000"/>
                <w:sz w:val="18"/>
                <w:szCs w:val="18"/>
                <w:shd w:val="clear" w:color="auto" w:fill="FFFFFF"/>
                <w:lang w:val="ro-MD" w:eastAsia="ro-MD"/>
              </w:rPr>
              <w:lastRenderedPageBreak/>
              <w:t>pentru a decide măsurile care urmează să fie luate pentru a remedia deficiențele modelelor.</w:t>
            </w:r>
          </w:p>
          <w:p w14:paraId="617937DE" w14:textId="2821C09E" w:rsidR="00471B8A" w:rsidRPr="008070DB" w:rsidRDefault="00471B8A" w:rsidP="0099488A">
            <w:pPr>
              <w:ind w:hanging="15"/>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39</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 xml:space="preserve">Banca Națională a Moldovei ține seama de măsura în care banca îndeplinește cerințele de la </w:t>
            </w:r>
            <w:r w:rsidRPr="008070DB">
              <w:rPr>
                <w:color w:val="000000"/>
                <w:sz w:val="18"/>
                <w:szCs w:val="18"/>
                <w:highlight w:val="lightGray"/>
                <w:shd w:val="clear" w:color="auto" w:fill="FFFFFF"/>
                <w:lang w:val="ro-MD" w:eastAsia="ro-MD"/>
              </w:rPr>
              <w:t>punctul 2</w:t>
            </w:r>
            <w:r w:rsidR="00CF39ED">
              <w:rPr>
                <w:color w:val="000000"/>
                <w:sz w:val="18"/>
                <w:szCs w:val="18"/>
                <w:shd w:val="clear" w:color="auto" w:fill="FFFFFF"/>
                <w:lang w:val="ro-MD" w:eastAsia="ro-MD"/>
              </w:rPr>
              <w:t>38</w:t>
            </w:r>
            <w:r w:rsidRPr="008070DB">
              <w:rPr>
                <w:color w:val="000000"/>
                <w:sz w:val="18"/>
                <w:szCs w:val="18"/>
                <w:shd w:val="clear" w:color="auto" w:fill="FFFFFF"/>
                <w:lang w:val="ro-MD" w:eastAsia="ro-MD"/>
              </w:rPr>
              <w:t xml:space="preserve">, atunci când stabilesc nivelul lui alfa, prevăzut la </w:t>
            </w:r>
            <w:r w:rsidRPr="008070DB">
              <w:rPr>
                <w:color w:val="000000"/>
                <w:sz w:val="18"/>
                <w:szCs w:val="18"/>
                <w:highlight w:val="lightGray"/>
                <w:shd w:val="clear" w:color="auto" w:fill="FFFFFF"/>
                <w:lang w:val="ro-MD" w:eastAsia="ro-MD"/>
              </w:rPr>
              <w:t>punctul 169.</w:t>
            </w:r>
            <w:r w:rsidRPr="008070DB">
              <w:rPr>
                <w:color w:val="000000"/>
                <w:sz w:val="18"/>
                <w:szCs w:val="18"/>
                <w:shd w:val="clear" w:color="auto" w:fill="FFFFFF"/>
                <w:lang w:val="ro-MD" w:eastAsia="ro-MD"/>
              </w:rPr>
              <w:t xml:space="preserve"> Numai băncile care respectă pe deplin aceste cerințe sunt eligibile pentru aplicarea factorului de multiplicare minim.</w:t>
            </w:r>
          </w:p>
          <w:p w14:paraId="026128A1" w14:textId="0DD9010A" w:rsidR="00471B8A" w:rsidRPr="008070DB" w:rsidRDefault="00471B8A" w:rsidP="0099488A">
            <w:pPr>
              <w:ind w:hanging="15"/>
              <w:rPr>
                <w:color w:val="000000"/>
                <w:sz w:val="18"/>
                <w:szCs w:val="18"/>
                <w:shd w:val="clear" w:color="auto" w:fill="FFFFFF"/>
                <w:lang w:val="ro-MD" w:eastAsia="ro-MD"/>
              </w:rPr>
            </w:pPr>
            <w:r w:rsidRPr="008070DB">
              <w:rPr>
                <w:b/>
                <w:bCs/>
                <w:color w:val="000000"/>
                <w:sz w:val="18"/>
                <w:szCs w:val="18"/>
                <w:shd w:val="clear" w:color="auto" w:fill="FFFFFF"/>
                <w:lang w:val="ro-MD" w:eastAsia="ro-MD"/>
              </w:rPr>
              <w:t>24</w:t>
            </w:r>
            <w:r w:rsidR="00CF39ED">
              <w:rPr>
                <w:b/>
                <w:bCs/>
                <w:color w:val="000000"/>
                <w:sz w:val="18"/>
                <w:szCs w:val="18"/>
                <w:shd w:val="clear" w:color="auto" w:fill="FFFFFF"/>
                <w:lang w:val="ro-MD" w:eastAsia="ro-MD"/>
              </w:rPr>
              <w:t>0</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formalizeze procesul de validare inițială și apoi permanentă a modelului său de calcul a expunerii la riscul de credit al contrapărții și calculul măsurărilor riscului generate de modele la un nivel de detaliere care permite unei părți terțe să recreeze analiza și, respectiv, măsurările riscului. Documentația respectivă stabilește frecvența cu care se efectuează analiza testării ex-post și orice validări permanente, modul în care se efectuează validarea în ceea ce privește fluxurile de date și portofoliile, precum și analizele care sunt utilizate.</w:t>
            </w:r>
          </w:p>
          <w:p w14:paraId="646047F5" w14:textId="377D879F" w:rsidR="00471B8A" w:rsidRPr="008070DB" w:rsidRDefault="00471B8A" w:rsidP="0099488A">
            <w:pPr>
              <w:ind w:hanging="15"/>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41</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definească criteriile conform cărora evaluează modelele sale de calcul al expunerii la riscul de credit al contrapărții și modelele care generează date de intrare pentru calculul expunerii și să dispună de o politică scrisă care descrie procesul prin care funcționarea inacceptabilă a modelului urmează să fie identificată și remediată.</w:t>
            </w:r>
          </w:p>
          <w:p w14:paraId="5CB566EF" w14:textId="3225A68F" w:rsidR="00471B8A" w:rsidRPr="008070DB" w:rsidRDefault="00471B8A" w:rsidP="0099488A">
            <w:pPr>
              <w:ind w:hanging="15"/>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CF39ED">
              <w:rPr>
                <w:b/>
                <w:bCs/>
                <w:color w:val="000000"/>
                <w:sz w:val="18"/>
                <w:szCs w:val="18"/>
                <w:shd w:val="clear" w:color="auto" w:fill="FFFFFF"/>
                <w:lang w:val="ro-MD" w:eastAsia="ro-MD"/>
              </w:rPr>
              <w:t>42</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Banca trebuie să definească modul în care sunt construite portofoliile reprezentative ale contrapărților în scopul validării unui model de calcul al expunerii la riscul de credit al contrapărții și a măsurărilor riscului efectuate de acesta.</w:t>
            </w:r>
          </w:p>
          <w:p w14:paraId="363AC301" w14:textId="77B7A737" w:rsidR="00471B8A" w:rsidRPr="008070DB" w:rsidRDefault="00471B8A" w:rsidP="0099488A">
            <w:pPr>
              <w:ind w:hanging="15"/>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E2380E">
              <w:rPr>
                <w:b/>
                <w:bCs/>
                <w:color w:val="000000"/>
                <w:sz w:val="18"/>
                <w:szCs w:val="18"/>
                <w:shd w:val="clear" w:color="auto" w:fill="FFFFFF"/>
                <w:lang w:val="ro-MD" w:eastAsia="ro-MD"/>
              </w:rPr>
              <w:t>43</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Pentru validarea modelelor de calcul al expunerii la riscul de credit al contrapărții și a măsurărilor riscului efectuate de acestea care produc distribuțiile previzionate se iau în considerare mai multe statistici ale distribuției previzionate.</w:t>
            </w:r>
          </w:p>
          <w:p w14:paraId="6C1C144B" w14:textId="77777777" w:rsidR="00236954" w:rsidRPr="008070DB" w:rsidRDefault="00236954"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273F4CC3" w14:textId="77777777" w:rsidR="00471B8A" w:rsidRPr="008070DB" w:rsidRDefault="00471B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77F87A3C"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5CC02629"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4EC59667"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4CA64308"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72496E52"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35D9BEAF"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0CB69337"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7FD098A3"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4AF3B3D2"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6229295A"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6C2BFB7D"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56A0823A"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293C50C3"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4E3E8DA0"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407321E2" w14:textId="77777777" w:rsidR="0099488A" w:rsidRPr="008070DB" w:rsidRDefault="0099488A" w:rsidP="0099488A">
            <w:pPr>
              <w:autoSpaceDE w:val="0"/>
              <w:autoSpaceDN w:val="0"/>
              <w:adjustRightInd w:val="0"/>
              <w:spacing w:after="60"/>
              <w:ind w:hanging="15"/>
              <w:rPr>
                <w:rFonts w:eastAsiaTheme="minorHAnsi"/>
                <w:i/>
                <w:iCs/>
                <w:color w:val="000000"/>
                <w:sz w:val="18"/>
                <w:szCs w:val="18"/>
                <w:lang w:val="ro-MD" w:eastAsia="en-US"/>
                <w14:ligatures w14:val="standardContextual"/>
              </w:rPr>
            </w:pPr>
          </w:p>
          <w:p w14:paraId="36CCED29" w14:textId="23A50CC2" w:rsidR="0099488A" w:rsidRPr="008070DB" w:rsidRDefault="0099488A" w:rsidP="0099488A">
            <w:pPr>
              <w:jc w:val="both"/>
              <w:rPr>
                <w:b/>
                <w:bCs/>
                <w:color w:val="000000"/>
                <w:sz w:val="18"/>
                <w:szCs w:val="18"/>
                <w:shd w:val="clear" w:color="auto" w:fill="FFFFFF"/>
                <w:lang w:val="ro-MD" w:eastAsia="ro-MD"/>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6EB2FEC8" w14:textId="3303EF34" w:rsidR="00236954" w:rsidRPr="00A96E09" w:rsidRDefault="0099488A" w:rsidP="00471B8A">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018E5A58" w14:textId="4C0182C2" w:rsidR="00236954" w:rsidRPr="00486B4E" w:rsidRDefault="00486B4E" w:rsidP="00471B8A">
            <w:pPr>
              <w:rPr>
                <w:sz w:val="18"/>
                <w:szCs w:val="18"/>
                <w:lang w:val="ro-MD"/>
              </w:rPr>
            </w:pPr>
            <w:r w:rsidRPr="00486B4E">
              <w:rPr>
                <w:sz w:val="18"/>
                <w:szCs w:val="18"/>
                <w:lang w:val="ro-MD"/>
              </w:rPr>
              <w:t>Alin. (1), lit. (a) a fost exclusă prin M17, pct.196 (</w:t>
            </w:r>
            <w:r>
              <w:rPr>
                <w:sz w:val="18"/>
                <w:szCs w:val="18"/>
                <w:lang w:val="ro-MD"/>
              </w:rPr>
              <w:t>R</w:t>
            </w:r>
            <w:r w:rsidRPr="00486B4E">
              <w:rPr>
                <w:color w:val="333333"/>
                <w:sz w:val="18"/>
                <w:szCs w:val="18"/>
                <w:shd w:val="clear" w:color="auto" w:fill="FFFFFF"/>
                <w:lang w:val="en-US"/>
              </w:rPr>
              <w:t xml:space="preserve">egulamentul (UE) 2024/1623 al Parlamentului European și al Consiliului din 31 mai 2024 de modificare a Regulamentului (UE) nr. 575/2013 în ceea ce privește cerințele referitoare la riscul de credit, riscul de ajustare </w:t>
            </w:r>
            <w:proofErr w:type="gramStart"/>
            <w:r w:rsidRPr="00486B4E">
              <w:rPr>
                <w:color w:val="333333"/>
                <w:sz w:val="18"/>
                <w:szCs w:val="18"/>
                <w:shd w:val="clear" w:color="auto" w:fill="FFFFFF"/>
                <w:lang w:val="en-US"/>
              </w:rPr>
              <w:t>a</w:t>
            </w:r>
            <w:proofErr w:type="gramEnd"/>
            <w:r w:rsidRPr="00486B4E">
              <w:rPr>
                <w:color w:val="333333"/>
                <w:sz w:val="18"/>
                <w:szCs w:val="18"/>
                <w:shd w:val="clear" w:color="auto" w:fill="FFFFFF"/>
                <w:lang w:val="en-US"/>
              </w:rPr>
              <w:t xml:space="preserve"> evaluării creditului, riscul operațional, riscul de piață și în ceea ce privește pragul minim privind cerințele de capital</w:t>
            </w:r>
            <w:r w:rsidRPr="00486B4E">
              <w:rPr>
                <w:color w:val="333333"/>
                <w:sz w:val="18"/>
                <w:szCs w:val="18"/>
                <w:shd w:val="clear" w:color="auto" w:fill="FFFFFF"/>
                <w:lang w:val="ro-MD"/>
              </w:rPr>
              <w:t xml:space="preserve">. CELEX </w:t>
            </w:r>
            <w:r w:rsidRPr="00486B4E">
              <w:rPr>
                <w:color w:val="333333"/>
                <w:sz w:val="18"/>
                <w:szCs w:val="18"/>
                <w:shd w:val="clear" w:color="auto" w:fill="FFFFFF"/>
                <w:lang w:val="en-US"/>
              </w:rPr>
              <w:t xml:space="preserve"> 32024R1623</w:t>
            </w:r>
            <w:r w:rsidRPr="00486B4E">
              <w:rPr>
                <w:color w:val="333333"/>
                <w:sz w:val="18"/>
                <w:szCs w:val="18"/>
                <w:shd w:val="clear" w:color="auto" w:fill="FFFFFF"/>
                <w:lang w:val="ro-MD"/>
              </w:rPr>
              <w:t xml:space="preserve">): </w:t>
            </w:r>
          </w:p>
          <w:p w14:paraId="56A89C43" w14:textId="77777777" w:rsidR="00486B4E" w:rsidRPr="00486B4E" w:rsidRDefault="00486B4E" w:rsidP="00471B8A">
            <w:pPr>
              <w:rPr>
                <w:sz w:val="18"/>
                <w:szCs w:val="18"/>
                <w:lang w:val="ro-MD"/>
              </w:rPr>
            </w:pPr>
          </w:p>
          <w:p w14:paraId="448866D4" w14:textId="5AF80E71" w:rsidR="00486B4E" w:rsidRPr="00486B4E" w:rsidRDefault="00486B4E" w:rsidP="00486B4E">
            <w:pPr>
              <w:rPr>
                <w:sz w:val="18"/>
                <w:szCs w:val="18"/>
                <w:lang w:val="ro-MD"/>
              </w:rPr>
            </w:pPr>
            <w:r w:rsidRPr="00486B4E">
              <w:rPr>
                <w:sz w:val="18"/>
                <w:szCs w:val="18"/>
                <w:lang w:val="ro-MD"/>
              </w:rPr>
              <w:t>„196. În partea a treia titlul IV, capitolul 5 se elimină.”.</w:t>
            </w:r>
          </w:p>
          <w:p w14:paraId="7B597986" w14:textId="77777777" w:rsidR="00486B4E" w:rsidRDefault="00486B4E" w:rsidP="00471B8A">
            <w:pPr>
              <w:rPr>
                <w:sz w:val="18"/>
                <w:szCs w:val="18"/>
                <w:lang w:val="en-US"/>
              </w:rPr>
            </w:pPr>
          </w:p>
          <w:p w14:paraId="0DF97244" w14:textId="77777777" w:rsidR="00486B4E" w:rsidRDefault="00486B4E" w:rsidP="00471B8A">
            <w:pPr>
              <w:rPr>
                <w:sz w:val="18"/>
                <w:szCs w:val="18"/>
                <w:lang w:val="en-US"/>
              </w:rPr>
            </w:pPr>
          </w:p>
          <w:p w14:paraId="63E52408" w14:textId="27B42314" w:rsidR="00486B4E" w:rsidRPr="00486B4E" w:rsidRDefault="00486B4E" w:rsidP="00471B8A">
            <w:pPr>
              <w:rPr>
                <w:sz w:val="18"/>
                <w:szCs w:val="18"/>
                <w:lang w:val="en-US"/>
              </w:rPr>
            </w:pPr>
            <w:r>
              <w:rPr>
                <w:sz w:val="18"/>
                <w:szCs w:val="18"/>
                <w:lang w:val="en-US"/>
              </w:rPr>
              <w:lastRenderedPageBreak/>
              <w:t xml:space="preserve">În varianta consolidată nu au fost efectuate modificări, inclusive variata engleză. În procesul transpunerii </w:t>
            </w:r>
            <w:r w:rsidR="00B563DD">
              <w:rPr>
                <w:sz w:val="18"/>
                <w:szCs w:val="18"/>
                <w:lang w:val="en-US"/>
              </w:rPr>
              <w:t xml:space="preserve">s-a luat în calcul modificarea prin M17. </w:t>
            </w:r>
            <w:r>
              <w:rPr>
                <w:sz w:val="18"/>
                <w:szCs w:val="18"/>
                <w:lang w:val="en-US"/>
              </w:rPr>
              <w:t xml:space="preserve"> </w:t>
            </w:r>
          </w:p>
        </w:tc>
      </w:tr>
      <w:tr w:rsidR="00236954" w:rsidRPr="00471B8A" w14:paraId="514D2DC1" w14:textId="77777777" w:rsidTr="00C14AF6">
        <w:trPr>
          <w:trHeight w:val="918"/>
        </w:trPr>
        <w:tc>
          <w:tcPr>
            <w:tcW w:w="3866" w:type="dxa"/>
          </w:tcPr>
          <w:p w14:paraId="597974E0" w14:textId="28817A1E" w:rsidR="008070DB" w:rsidRPr="008070DB" w:rsidRDefault="008070DB" w:rsidP="008070DB">
            <w:pPr>
              <w:shd w:val="clear" w:color="auto" w:fill="FFFFFF"/>
              <w:spacing w:before="240" w:after="120"/>
              <w:rPr>
                <w:b/>
                <w:bCs/>
                <w:color w:val="000000"/>
                <w:sz w:val="18"/>
                <w:szCs w:val="18"/>
                <w:lang w:val="ro-MD" w:eastAsia="ro-MD"/>
              </w:rPr>
            </w:pPr>
            <w:r w:rsidRPr="008070DB">
              <w:rPr>
                <w:i/>
                <w:iCs/>
                <w:color w:val="000000"/>
                <w:sz w:val="18"/>
                <w:szCs w:val="18"/>
                <w:lang w:val="ro-MD" w:eastAsia="ro-MD"/>
              </w:rPr>
              <w:lastRenderedPageBreak/>
              <w:t>Articolul 294</w:t>
            </w:r>
            <w:r>
              <w:rPr>
                <w:i/>
                <w:iCs/>
                <w:color w:val="000000"/>
                <w:sz w:val="18"/>
                <w:szCs w:val="18"/>
                <w:lang w:val="ro-MD" w:eastAsia="ro-MD"/>
              </w:rPr>
              <w:t xml:space="preserve"> </w:t>
            </w:r>
            <w:r w:rsidRPr="008070DB">
              <w:rPr>
                <w:b/>
                <w:bCs/>
                <w:color w:val="000000"/>
                <w:sz w:val="18"/>
                <w:szCs w:val="18"/>
                <w:lang w:val="ro-MD" w:eastAsia="ro-MD"/>
              </w:rPr>
              <w:t>Cerințe de validare</w:t>
            </w:r>
          </w:p>
          <w:p w14:paraId="5646FD7A" w14:textId="690C18B9"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(1) Ca parte a validării inițiale și apoi permanente a modelului său de calcul al expunerii la riscul de credit al contrapărții și a măsurărilor riscului efectuate de acesta, o instituție se asigură că sunt îndeplinite următoarele cerințe:</w:t>
            </w:r>
          </w:p>
          <w:p w14:paraId="01ED87CA" w14:textId="101D4E45"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(a) înainte de primirea aprobării din partea autorităților competente în conformitate cu articolul 283 alineatul (1), instituția efectuează o testare ex-post utilizând date istorice privind variațiile factorilor de risc de piață. Testarea ex-post ia în considerare, pentru o gamă de diverse date de inițializare, o serie de orizonturi de previzionare distincte care se întind pe cel puțin un an și acoperă o gamă largă de condiții de piață;</w:t>
            </w:r>
          </w:p>
          <w:p w14:paraId="738A632E" w14:textId="4F507778"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lastRenderedPageBreak/>
              <w:t>(b) instituția care utilizează abordarea prevăzută la articolul 285 alineatul (1) litera (b) își validează periodic modelul pentru a verifica dacă expunerile curente realizate corespund previziunilor pentru toate perioadele de marjă din cadrul unui an. Dacă unele tranzacții din setul de compensare au o scadență mai mică de un an și dacă setul de compensare fără aceste tranzacții are o sensibilitate mai mare la factorii de risc, validarea ține seama de acest aspect;</w:t>
            </w:r>
          </w:p>
          <w:p w14:paraId="237C6324" w14:textId="5D041E98"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(c) instituția testează ex-post performanța modelului său de calcul al expunerii la riscul de credit al contrapărții și măsurările relevante ale riscului efectuate de acesta, precum și previziunile factorilor de risc de piață. Pentru tranzacțiile acoperite cu garanții reale, orizonturile de previzionare luate în considerare le includ pe cele care reflectă perioadele de risc de marjă tipice aplicate tranzacțiilor acoperite cu garanții reale sau cu contracte în marjă;</w:t>
            </w:r>
          </w:p>
          <w:p w14:paraId="31D70BCC" w14:textId="02168B8F"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(d) dacă validarea modelului indică faptul că expunerea pozitivă așteptată efectivă este subestimată, instituția ia măsurile necesare pentru a remedia lipsa de acuratețe a modelului;</w:t>
            </w:r>
          </w:p>
          <w:p w14:paraId="05F7FC24" w14:textId="35F4945D"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(e) instituția testează modelele de evaluare (</w:t>
            </w:r>
            <w:r w:rsidRPr="008070DB">
              <w:rPr>
                <w:i/>
                <w:iCs/>
                <w:color w:val="000000"/>
                <w:sz w:val="18"/>
                <w:szCs w:val="18"/>
                <w:lang w:val="ro-MD" w:eastAsia="ro-MD"/>
              </w:rPr>
              <w:t>pricing models</w:t>
            </w:r>
            <w:r w:rsidRPr="008070DB">
              <w:rPr>
                <w:color w:val="000000"/>
                <w:sz w:val="18"/>
                <w:szCs w:val="18"/>
                <w:lang w:val="ro-MD" w:eastAsia="ro-MD"/>
              </w:rPr>
              <w:t>) utilizate pentru a calcula expunerea la riscul de credit al contrapărții pentru un anumit scenariu al șocurilor viitoare asupra factorilor de risc de piață, ca parte a procesului de validare inițială și apoi permanentă a modelului. Modelele de evaluare a opțiunilor țin seama de neliniaritatea valorii opțiunii în ceea ce privește factorii de risc de piață;</w:t>
            </w:r>
          </w:p>
          <w:p w14:paraId="6BCE8D2F" w14:textId="02EC7C19"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(f) modelul de calcul al expunerii la riscul de credit al contrapărții cuprinde informațiile specifice cu privire la tranzacții, care sunt necesare pentru a putea agrega expunerile la nivelul setului de compensare. Instituția verifică dacă în cadrul modelului tranzacțiile sunt atribuite setului de compensare adecvat;</w:t>
            </w:r>
          </w:p>
          <w:p w14:paraId="3D8714BC" w14:textId="2900C3B7"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lastRenderedPageBreak/>
              <w:t>(g)</w:t>
            </w:r>
            <w:r>
              <w:rPr>
                <w:color w:val="000000"/>
                <w:sz w:val="18"/>
                <w:szCs w:val="18"/>
                <w:lang w:val="ro-MD" w:eastAsia="ro-MD"/>
              </w:rPr>
              <w:t xml:space="preserve"> </w:t>
            </w:r>
            <w:r w:rsidRPr="008070DB">
              <w:rPr>
                <w:color w:val="000000"/>
                <w:sz w:val="18"/>
                <w:szCs w:val="18"/>
                <w:lang w:val="ro-MD" w:eastAsia="ro-MD"/>
              </w:rPr>
              <w:t>modelul de calcul al expunerii la riscul de credit al contrapărții cuprinde informații specifice cu privire la tranzacții, pentru a reflecta efectele contractelor în marjă. Modelul ține seama atât de cuantumul curent al marjei, cât și de marja care ar putea fi transferată în viitor între contrapărți. Un astfel de model ține seama de natura contractelor în marjă, care pot fi unilaterale sau bilaterale, de frecvența apelurilor în marjă, de perioada de risc de marjă, de pragul minim al expunerii din afara marjei pe care instituția este dispusă să îl accepte și de suma minimă de transfer. Modelul respectiv fie estimează variația marcată la piață a valorii garanțiilor reale furnizate, fie aplică normele prevăzute în capitolul 4;</w:t>
            </w:r>
          </w:p>
          <w:p w14:paraId="04FAAF07" w14:textId="1D611887"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(h) procesul de validare a modelului include testarea ex-post statică, bazată pe date istorice, a portofoliilor reprezentative ale contrapărților. O instituție efectuează o astfel de testare ex-post pe un număr de portofolii reprezentative ale contrapărților, reale sau ipotetice, la intervale de timp regulate. Aceste portofolii reprezentative se aleg în funcție de sensibilitatea la factori de risc semnificativi și la combinații de factori de risc la care este expusă instituția;</w:t>
            </w:r>
          </w:p>
          <w:p w14:paraId="07B2428E" w14:textId="30F6ACBD"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(i) instituția desfășoară testări ex-post care sunt concepute pentru a testa ipotezele-cheie ale modelului de calcul al expunerii la riscul de credit al contrapărții și măsurările relevante ale riscului, inclusiv relația surprinsă prin intermediul modelului între tendințele aceluiași factor de risc și relațiile surprinse prin intermediul modelului între factorii de risc;</w:t>
            </w:r>
          </w:p>
          <w:p w14:paraId="631EA227" w14:textId="024DA342"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(j) performanța modelelor de calcul al expunerii la riscul de credit al contrapărții și a măsurărilor riscului efectuate de acestea fac obiectul unei practici de testare ex-post adecvate. Programul de testare ex-post poate identifica performanțele slabe ale măsurărilor riscului efectuate de un modelul de calcul al expunerii pozitive așteptate;</w:t>
            </w:r>
          </w:p>
          <w:p w14:paraId="0A93E4BB" w14:textId="07F7AEEA"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lastRenderedPageBreak/>
              <w:t>(k)</w:t>
            </w:r>
            <w:r>
              <w:rPr>
                <w:color w:val="000000"/>
                <w:sz w:val="18"/>
                <w:szCs w:val="18"/>
                <w:lang w:val="ro-MD" w:eastAsia="ro-MD"/>
              </w:rPr>
              <w:t xml:space="preserve"> </w:t>
            </w:r>
            <w:r w:rsidRPr="008070DB">
              <w:rPr>
                <w:color w:val="000000"/>
                <w:sz w:val="18"/>
                <w:szCs w:val="18"/>
                <w:lang w:val="ro-MD" w:eastAsia="ro-MD"/>
              </w:rPr>
              <w:t>instituția validează modelele de calcul al expunerii la riscul de credit al contrapărții și toate măsurările riscului pentru orizonturi de timp proporționale cu scadența tranzacțiilor pentru care expunerea este calculată utilizând MMI în conformitate cu articolul 283;</w:t>
            </w:r>
          </w:p>
          <w:p w14:paraId="20288BCA" w14:textId="43FDF3AA"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(l) instituția testează cu regularitate modelele de evaluare (pricing models) utilizate pentru a calcula expunerea față de contraparte, în raport cu valori de referință independente adecvate, ca parte a procesului permanent de validare a modelului;</w:t>
            </w:r>
          </w:p>
          <w:p w14:paraId="41248108" w14:textId="2DE77D93"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(m)</w:t>
            </w:r>
            <w:r>
              <w:rPr>
                <w:color w:val="000000"/>
                <w:sz w:val="18"/>
                <w:szCs w:val="18"/>
                <w:lang w:val="ro-MD" w:eastAsia="ro-MD"/>
              </w:rPr>
              <w:t xml:space="preserve"> </w:t>
            </w:r>
            <w:r w:rsidRPr="008070DB">
              <w:rPr>
                <w:color w:val="000000"/>
                <w:sz w:val="18"/>
                <w:szCs w:val="18"/>
                <w:lang w:val="ro-MD" w:eastAsia="ro-MD"/>
              </w:rPr>
              <w:t>validarea permanentă a modelului instituției de calcul al expunerii la riscul de credit al contrapărții și a măsurărilor relevante ale riscului include o evaluare a caracterului adecvat al performanțelor recente;</w:t>
            </w:r>
          </w:p>
          <w:p w14:paraId="59C49AA8" w14:textId="24C92ED2"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(n) frecvența cu care sunt actualizați parametrii unui model de calcul al expunerii la riscul de credit al contrapărții este evaluată de instituție ca parte a procesului de validare inițială și apoi permanentă;</w:t>
            </w:r>
          </w:p>
          <w:p w14:paraId="262D5AF3" w14:textId="5515ED87"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(o) validarea inițială și apoi permanentă a modelelor de calcul al expunerii la riscul de credit al contrapărții verifică dacă sunt sau nu adecvate calculele expunerii la nivel de contraparte și de set de compensare.</w:t>
            </w:r>
          </w:p>
          <w:p w14:paraId="64E0A84E" w14:textId="6254F443" w:rsidR="008070DB"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t>(2) Cu aprobarea prealabilă a autorităților competente, o măsură mai prudentă decât indicatorul cantitativ folosit pentru a calcula valoarea expunerii reglementate pentru fiecare contraparte poate fi utilizată în locul produsului dintre alfa și expunerea pozitivă așteptată efectivă. Gradul de prudență relativă va fi evaluat la acordarea aprobării inițiale de către autoritățile competente și cu ocazia evaluării periodice efectuate de autoritatea competentă a modelelor de calcul al expunerii pozitive așteptate. Instituția validează cu regularitate gradul de prudență. Evaluarea permanentă a performanței modelului trebuie să acopere toate contrapărțile pentru care acesta este utilizat.</w:t>
            </w:r>
          </w:p>
          <w:p w14:paraId="01F080BB" w14:textId="62B41063" w:rsidR="00236954" w:rsidRPr="008070DB" w:rsidRDefault="008070DB" w:rsidP="008070DB">
            <w:pPr>
              <w:shd w:val="clear" w:color="auto" w:fill="FFFFFF"/>
              <w:rPr>
                <w:color w:val="000000"/>
                <w:sz w:val="18"/>
                <w:szCs w:val="18"/>
                <w:lang w:val="ro-MD" w:eastAsia="ro-MD"/>
              </w:rPr>
            </w:pPr>
            <w:r w:rsidRPr="008070DB">
              <w:rPr>
                <w:color w:val="000000"/>
                <w:sz w:val="18"/>
                <w:szCs w:val="18"/>
                <w:lang w:val="ro-MD" w:eastAsia="ro-MD"/>
              </w:rPr>
              <w:lastRenderedPageBreak/>
              <w:t>(3) Dacă testarea ex-post indică faptul că un model nu este suficient de exact, autoritățile competente revocă aprobarea de utilizare a acestuia sau impun măsuri adecvate pentru a se asigura că modelul este îmbunătățit cu promptitudine.</w:t>
            </w:r>
          </w:p>
        </w:tc>
        <w:tc>
          <w:tcPr>
            <w:tcW w:w="4356" w:type="dxa"/>
          </w:tcPr>
          <w:p w14:paraId="70295F89" w14:textId="77777777" w:rsidR="008070DB" w:rsidRPr="008070DB" w:rsidRDefault="008070DB" w:rsidP="00F10CBE">
            <w:pPr>
              <w:jc w:val="center"/>
              <w:rPr>
                <w:i/>
                <w:iCs/>
                <w:color w:val="000000"/>
                <w:sz w:val="18"/>
                <w:szCs w:val="18"/>
                <w:shd w:val="clear" w:color="auto" w:fill="FFFFFF"/>
                <w:lang w:val="ro-MD" w:eastAsia="ro-MD"/>
              </w:rPr>
            </w:pPr>
            <w:r w:rsidRPr="008070DB">
              <w:rPr>
                <w:i/>
                <w:iCs/>
                <w:color w:val="000000"/>
                <w:sz w:val="18"/>
                <w:szCs w:val="18"/>
                <w:shd w:val="clear" w:color="auto" w:fill="FFFFFF"/>
                <w:lang w:val="ro-MD" w:eastAsia="ro-MD"/>
              </w:rPr>
              <w:lastRenderedPageBreak/>
              <w:t>Secţiunea a 10-a</w:t>
            </w:r>
          </w:p>
          <w:p w14:paraId="7E42EEDF" w14:textId="77777777" w:rsidR="008070DB" w:rsidRPr="008070DB" w:rsidRDefault="008070DB" w:rsidP="00F10CBE">
            <w:pPr>
              <w:jc w:val="center"/>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Cerințe de validare</w:t>
            </w:r>
          </w:p>
          <w:p w14:paraId="68D2D4A0" w14:textId="386FBCB3" w:rsidR="008070DB" w:rsidRPr="008070DB" w:rsidRDefault="008070DB" w:rsidP="00F10CBE">
            <w:pPr>
              <w:jc w:val="both"/>
              <w:rPr>
                <w:b/>
                <w:bCs/>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E2380E">
              <w:rPr>
                <w:b/>
                <w:bCs/>
                <w:color w:val="000000"/>
                <w:sz w:val="18"/>
                <w:szCs w:val="18"/>
                <w:shd w:val="clear" w:color="auto" w:fill="FFFFFF"/>
                <w:lang w:val="ro-MD" w:eastAsia="ro-MD"/>
              </w:rPr>
              <w:t>44</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Ca parte a validării inițiale și apoi permanente a modelului său de calcul al expunerii la riscul de credit al contrapărții și a măsurărilor riscului efectuate de acesta, banca se asigură că sunt îndeplinite următoarele cerințe:</w:t>
            </w:r>
          </w:p>
          <w:p w14:paraId="7B33E273" w14:textId="1D70F775"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 xml:space="preserve">.1. înainte de primirea aprobării din partea Băncii Naționale a Moldovei în conformitate cu </w:t>
            </w:r>
            <w:r w:rsidRPr="008070DB">
              <w:rPr>
                <w:color w:val="000000"/>
                <w:sz w:val="18"/>
                <w:szCs w:val="18"/>
                <w:highlight w:val="lightGray"/>
                <w:shd w:val="clear" w:color="auto" w:fill="FFFFFF"/>
                <w:lang w:val="ro-MD" w:eastAsia="ro-MD"/>
              </w:rPr>
              <w:t>punctele 158-160</w:t>
            </w:r>
            <w:r w:rsidRPr="008070DB">
              <w:rPr>
                <w:color w:val="000000"/>
                <w:sz w:val="18"/>
                <w:szCs w:val="18"/>
                <w:shd w:val="clear" w:color="auto" w:fill="FFFFFF"/>
                <w:lang w:val="ro-MD" w:eastAsia="ro-MD"/>
              </w:rPr>
              <w:t>, banca efectuează o testare ex-post utilizând date istorice privind variațiile factorilor de risc de piață. Testarea ex-post ia în considerare, pentru o gamă de diverse date de inițializare, o serie de orizonturi de previzionare distincte care se întind pe cel puțin un an și acoperă o gamă largă de condiții de piață;</w:t>
            </w:r>
          </w:p>
          <w:p w14:paraId="10835E4D" w14:textId="26D3548B"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 xml:space="preserve">.2. banca care utilizează abordarea prevăzută la </w:t>
            </w:r>
            <w:r w:rsidRPr="008070DB">
              <w:rPr>
                <w:color w:val="000000"/>
                <w:sz w:val="18"/>
                <w:szCs w:val="18"/>
                <w:highlight w:val="lightGray"/>
                <w:shd w:val="clear" w:color="auto" w:fill="FFFFFF"/>
                <w:lang w:val="ro-MD" w:eastAsia="ro-MD"/>
              </w:rPr>
              <w:t>subpunctul 1</w:t>
            </w:r>
            <w:r w:rsidR="00E2380E">
              <w:rPr>
                <w:color w:val="000000"/>
                <w:sz w:val="18"/>
                <w:szCs w:val="18"/>
                <w:highlight w:val="lightGray"/>
                <w:shd w:val="clear" w:color="auto" w:fill="FFFFFF"/>
                <w:lang w:val="ro-MD" w:eastAsia="ro-MD"/>
              </w:rPr>
              <w:t>79</w:t>
            </w:r>
            <w:r w:rsidRPr="008070DB">
              <w:rPr>
                <w:color w:val="000000"/>
                <w:sz w:val="18"/>
                <w:szCs w:val="18"/>
                <w:highlight w:val="lightGray"/>
                <w:shd w:val="clear" w:color="auto" w:fill="FFFFFF"/>
                <w:lang w:val="ro-MD" w:eastAsia="ro-MD"/>
              </w:rPr>
              <w:t>.2.</w:t>
            </w:r>
            <w:r w:rsidRPr="008070DB">
              <w:rPr>
                <w:color w:val="000000"/>
                <w:sz w:val="18"/>
                <w:szCs w:val="18"/>
                <w:shd w:val="clear" w:color="auto" w:fill="FFFFFF"/>
                <w:lang w:val="ro-MD" w:eastAsia="ro-MD"/>
              </w:rPr>
              <w:t xml:space="preserve"> își validează periodic modelul pentru a verifica dacă expunerile curente realizate corespund previziunilor pentru toate perioadele de marjă din cadrul </w:t>
            </w:r>
            <w:r w:rsidRPr="008070DB">
              <w:rPr>
                <w:color w:val="000000"/>
                <w:sz w:val="18"/>
                <w:szCs w:val="18"/>
                <w:shd w:val="clear" w:color="auto" w:fill="FFFFFF"/>
                <w:lang w:val="ro-MD" w:eastAsia="ro-MD"/>
              </w:rPr>
              <w:lastRenderedPageBreak/>
              <w:t>unui an. Dacă unele tranzacții din setul de compensare au o scadență mai mică de un an și dacă setul de compensare fără aceste tranzacții are o sensibilitate mai mare la factorii de risc, validarea ține seama de acest aspect;</w:t>
            </w:r>
          </w:p>
          <w:p w14:paraId="1AC561A7" w14:textId="4FC17366"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.3. banca testează ex-post performanța modelului său de calcul al expunerii la riscul de credit al contrapărții și măsurările relevante ale riscului efectuate de acesta, precum și previziunile factorilor de risc de piață. Pentru tranzacțiile acoperite cu garanții reale, orizonturile de previzionare luate în considerare le includ pe cele care reflectă perioadele de risc de marjă tipice aplicate tranzacțiilor acoperite cu garanții reale sau cu contracte în marjă;</w:t>
            </w:r>
          </w:p>
          <w:p w14:paraId="2140078E" w14:textId="211CB4B5"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.4. dacă validarea modelului indică faptul că expunerea pozitivă așteptată efectivă este subestimată, banca ia măsurile necesare pentru a remedia lipsa de acuratețe a modelului;</w:t>
            </w:r>
          </w:p>
          <w:p w14:paraId="306E9BCB" w14:textId="4A335E53"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.5. banca testează modelele de evaluare (</w:t>
            </w:r>
            <w:r w:rsidRPr="008070DB">
              <w:rPr>
                <w:i/>
                <w:iCs/>
                <w:color w:val="000000"/>
                <w:sz w:val="18"/>
                <w:szCs w:val="18"/>
                <w:shd w:val="clear" w:color="auto" w:fill="FFFFFF"/>
                <w:lang w:val="ro-MD" w:eastAsia="ro-MD"/>
              </w:rPr>
              <w:t>pricing models</w:t>
            </w:r>
            <w:r w:rsidRPr="008070DB">
              <w:rPr>
                <w:color w:val="000000"/>
                <w:sz w:val="18"/>
                <w:szCs w:val="18"/>
                <w:shd w:val="clear" w:color="auto" w:fill="FFFFFF"/>
                <w:lang w:val="ro-MD" w:eastAsia="ro-MD"/>
              </w:rPr>
              <w:t>) utilizate pentru a calcula expunerea la riscul de credit al contrapărții pentru un anumit scenariu al șocurilor viitoare asupra factorilor de risc de piață, ca parte a procesului de validare inițială și apoi permanentă a modelului. Modelele de evaluare a opțiunilor țin seama de neliniaritatea valorii opțiunii în ceea ce privește factorii de risc de piață;</w:t>
            </w:r>
          </w:p>
          <w:p w14:paraId="1E5B7FFB" w14:textId="4A103DCE"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.6. modelul de calcul al expunerii la riscul de credit al contrapărții cuprinde informațiile specifice cu privire la tranzacții, care sunt necesare pentru a putea agrega expunerile la nivelul setului de compensare. Banca verifică dacă în cadrul modelului tranzacțiile sunt atribuite setului de compensare adecvat;</w:t>
            </w:r>
          </w:p>
          <w:p w14:paraId="374993BB" w14:textId="2CEC883C"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 xml:space="preserve">.7. modelul de calcul al expunerii la riscul de credit al contrapărții cuprinde informații specifice cu privire la tranzacții, pentru a reflecta efectele contractelor în marjă. Modelul ține seama atât de cuantumul curent al marjei, cât și de marja care ar putea fi transferată în viitor între contrapărți. Un astfel de model ține seama de natura contractelor în marjă, care pot fi unilaterale sau bilaterale, de frecvența apelurilor în marjă, de perioada de risc de marjă, de pragul minim al expunerii din afara marjei pe care instituția este dispusă să îl accepte și de suma minimă </w:t>
            </w:r>
            <w:r w:rsidRPr="008070DB">
              <w:rPr>
                <w:color w:val="000000"/>
                <w:sz w:val="18"/>
                <w:szCs w:val="18"/>
                <w:shd w:val="clear" w:color="auto" w:fill="FFFFFF"/>
                <w:lang w:val="ro-MD" w:eastAsia="ro-MD"/>
              </w:rPr>
              <w:lastRenderedPageBreak/>
              <w:t xml:space="preserve">de transfer. Modelul respectiv fie estimează variația marcată la piață a valorii garanțiilor reale furnizate, fie aplică normele prevăzute în </w:t>
            </w:r>
            <w:r w:rsidRPr="008070DB">
              <w:rPr>
                <w:color w:val="000000"/>
                <w:sz w:val="18"/>
                <w:szCs w:val="18"/>
                <w:highlight w:val="lightGray"/>
                <w:shd w:val="clear" w:color="auto" w:fill="FFFFFF"/>
                <w:lang w:val="ro-MD" w:eastAsia="ro-MD"/>
              </w:rPr>
              <w:t>Regulamentul nr.112/2018;</w:t>
            </w:r>
          </w:p>
          <w:p w14:paraId="1CB534B8" w14:textId="1E7C8CE7"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.8. procesul de validare a modelului include testarea ex-post statică, bazată pe date istorice, a portofoliilor reprezentative ale contrapărților. Banca efectuează o astfel de testare ex-post pe un număr de portofolii reprezentative ale contrapărților, reale sau ipotetice, la intervale de timp regulate. Aceste portofolii reprezentative se aleg în funcție de sensibilitatea la factori de risc semnificativi și la combinații de factori de risc la care este expusă instituția;</w:t>
            </w:r>
          </w:p>
          <w:p w14:paraId="6EB42AC4" w14:textId="318BE75F"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.9. banca desfășoară testări ex-post care sunt concepute pentru a testa ipotezele-cheie ale modelului de calcul al expunerii la riscul de credit al contrapărții și măsurările relevante ale riscului, inclusiv relația surprinsă prin intermediul modelului între tendințele aceluiași factor de risc și relațiile surprinse prin intermediul modelului între factorii de risc;</w:t>
            </w:r>
          </w:p>
          <w:p w14:paraId="10D99CB0" w14:textId="4C351B6A"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.10. performanța modelelor de calcul al expunerii la riscul de credit al contrapărții și a măsurărilor riscului efectuate de acestea fac obiectul unei practici de testare ex-post</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adecvate. Programul de testare ex-post poate identifica performanțele slabe ale măsurărilor riscului efectuate de un modelul de calcul al expunerii pozitive așteptate;</w:t>
            </w:r>
          </w:p>
          <w:p w14:paraId="075CCC9B" w14:textId="0F7EC1F4"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 xml:space="preserve">.11. banca validează modelele de calcul al expunerii la riscul de credit al contrapărții și toate măsurările riscului pentru orizonturi de timp proporționale cu scadența tranzacțiilor pentru care expunerea este calculată utilizând </w:t>
            </w:r>
            <w:r w:rsidRPr="008070DB">
              <w:rPr>
                <w:sz w:val="18"/>
                <w:szCs w:val="18"/>
                <w:lang w:val="ro-MD" w:eastAsia="ro-MD"/>
              </w:rPr>
              <w:t>metoda modelului intern</w:t>
            </w:r>
            <w:r w:rsidRPr="008070DB">
              <w:rPr>
                <w:color w:val="000000"/>
                <w:sz w:val="18"/>
                <w:szCs w:val="18"/>
                <w:highlight w:val="lightGray"/>
                <w:shd w:val="clear" w:color="auto" w:fill="FFFFFF"/>
                <w:lang w:val="ro-MD" w:eastAsia="ro-MD"/>
              </w:rPr>
              <w:t xml:space="preserve"> în conformitate cu punctele 158-165;</w:t>
            </w:r>
          </w:p>
          <w:p w14:paraId="0E22006C" w14:textId="1302243A"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.12. banca testează cu regularitate modelele de evaluare (pricing models) utilizate pentru a calcula expunerea față de contraparte, în raport cu valori de referință independente adecvate, ca parte a procesului permanent de validare a modelului;</w:t>
            </w:r>
          </w:p>
          <w:p w14:paraId="4976E5DB" w14:textId="78330DA6"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 xml:space="preserve">.13. validarea permanentă a modelului băncii de calcul al expunerii la riscul de credit al contrapărții și a </w:t>
            </w:r>
            <w:r w:rsidRPr="008070DB">
              <w:rPr>
                <w:color w:val="000000"/>
                <w:sz w:val="18"/>
                <w:szCs w:val="18"/>
                <w:shd w:val="clear" w:color="auto" w:fill="FFFFFF"/>
                <w:lang w:val="ro-MD" w:eastAsia="ro-MD"/>
              </w:rPr>
              <w:lastRenderedPageBreak/>
              <w:t>măsurărilor relevante ale riscului include o evaluare a caracterului adecvat al performanțelor recente;</w:t>
            </w:r>
          </w:p>
          <w:p w14:paraId="715CEC5B" w14:textId="6D46130F"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.14. frecvența cu care sunt actualizați parametrii unui model de calcul al expunerii la riscul de credit al contrapărții este evaluată de bancă ca parte a procesului de validare inițială și apoi permanentă;</w:t>
            </w:r>
          </w:p>
          <w:p w14:paraId="14E44B2F" w14:textId="56ABB616" w:rsidR="008070DB" w:rsidRPr="008070DB" w:rsidRDefault="008070DB" w:rsidP="00F10CBE">
            <w:pPr>
              <w:jc w:val="both"/>
              <w:rPr>
                <w:color w:val="000000"/>
                <w:sz w:val="18"/>
                <w:szCs w:val="18"/>
                <w:shd w:val="clear" w:color="auto" w:fill="FFFFFF"/>
                <w:lang w:val="ro-MD" w:eastAsia="ro-MD"/>
              </w:rPr>
            </w:pPr>
            <w:r w:rsidRPr="008070DB">
              <w:rPr>
                <w:color w:val="000000"/>
                <w:sz w:val="18"/>
                <w:szCs w:val="18"/>
                <w:shd w:val="clear" w:color="auto" w:fill="FFFFFF"/>
                <w:lang w:val="ro-MD" w:eastAsia="ro-MD"/>
              </w:rPr>
              <w:t>2</w:t>
            </w:r>
            <w:r w:rsidR="00E2380E">
              <w:rPr>
                <w:color w:val="000000"/>
                <w:sz w:val="18"/>
                <w:szCs w:val="18"/>
                <w:shd w:val="clear" w:color="auto" w:fill="FFFFFF"/>
                <w:lang w:val="ro-MD" w:eastAsia="ro-MD"/>
              </w:rPr>
              <w:t>44</w:t>
            </w:r>
            <w:r w:rsidRPr="008070DB">
              <w:rPr>
                <w:color w:val="000000"/>
                <w:sz w:val="18"/>
                <w:szCs w:val="18"/>
                <w:shd w:val="clear" w:color="auto" w:fill="FFFFFF"/>
                <w:lang w:val="ro-MD" w:eastAsia="ro-MD"/>
              </w:rPr>
              <w:t>.15. validarea inițială și apoi permanentă a modelelor de calcul al expunerii la riscul de credit al contrapărții verifică dacă sunt sau nu adecvate calculele expunerii la nivel de contraparte și de set de compensare.</w:t>
            </w:r>
          </w:p>
          <w:p w14:paraId="152501C0" w14:textId="51676D2D" w:rsidR="008070DB" w:rsidRPr="008070DB" w:rsidRDefault="008070DB" w:rsidP="00F10CBE">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E2380E">
              <w:rPr>
                <w:b/>
                <w:bCs/>
                <w:color w:val="000000"/>
                <w:sz w:val="18"/>
                <w:szCs w:val="18"/>
                <w:shd w:val="clear" w:color="auto" w:fill="FFFFFF"/>
                <w:lang w:val="ro-MD" w:eastAsia="ro-MD"/>
              </w:rPr>
              <w:t>45</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Cu aprobarea prealabilă a Băncii Naționale a Moldovei, o măsură mai prudentă decât indicatorul cantitativ folosit pentru a calcula valoarea expunerii reglementate pentru fiecare contraparte poate fi utilizată în locul produsului dintre alfa și expunerea pozitivă așteptată efectivă. Gradul de prudență relativă va fi evaluat la acordarea aprobării inițiale de către Banca Națională a Moldovei și cu ocazia evaluării periodice efectuate de Banca Națională a Moldovei a modelelor de calcul al expunerii pozitive așteptate. Banca validează cu regularitate gradul de prudență. Evaluarea permanentă a performanței modelului trebuie să acopere toate contrapărțile pentru care acesta este utilizat.</w:t>
            </w:r>
          </w:p>
          <w:p w14:paraId="47C0D4A7" w14:textId="51BAB9BB" w:rsidR="008070DB" w:rsidRPr="008070DB" w:rsidRDefault="008070DB" w:rsidP="00F10CBE">
            <w:pPr>
              <w:jc w:val="both"/>
              <w:rPr>
                <w:color w:val="000000"/>
                <w:sz w:val="18"/>
                <w:szCs w:val="18"/>
                <w:shd w:val="clear" w:color="auto" w:fill="FFFFFF"/>
                <w:lang w:val="ro-MD" w:eastAsia="ro-MD"/>
              </w:rPr>
            </w:pPr>
            <w:r w:rsidRPr="008070DB">
              <w:rPr>
                <w:b/>
                <w:bCs/>
                <w:color w:val="000000"/>
                <w:sz w:val="18"/>
                <w:szCs w:val="18"/>
                <w:shd w:val="clear" w:color="auto" w:fill="FFFFFF"/>
                <w:lang w:val="ro-MD" w:eastAsia="ro-MD"/>
              </w:rPr>
              <w:t>2</w:t>
            </w:r>
            <w:r w:rsidR="00E2380E">
              <w:rPr>
                <w:b/>
                <w:bCs/>
                <w:color w:val="000000"/>
                <w:sz w:val="18"/>
                <w:szCs w:val="18"/>
                <w:shd w:val="clear" w:color="auto" w:fill="FFFFFF"/>
                <w:lang w:val="ro-MD" w:eastAsia="ro-MD"/>
              </w:rPr>
              <w:t>46</w:t>
            </w:r>
            <w:r w:rsidRPr="008070DB">
              <w:rPr>
                <w:b/>
                <w:bCs/>
                <w:color w:val="000000"/>
                <w:sz w:val="18"/>
                <w:szCs w:val="18"/>
                <w:shd w:val="clear" w:color="auto" w:fill="FFFFFF"/>
                <w:lang w:val="ro-MD" w:eastAsia="ro-MD"/>
              </w:rPr>
              <w:t xml:space="preserve">. </w:t>
            </w:r>
            <w:r w:rsidRPr="008070DB">
              <w:rPr>
                <w:color w:val="000000"/>
                <w:sz w:val="18"/>
                <w:szCs w:val="18"/>
                <w:shd w:val="clear" w:color="auto" w:fill="FFFFFF"/>
                <w:lang w:val="ro-MD" w:eastAsia="ro-MD"/>
              </w:rPr>
              <w:t>Dacă testarea ex-post indică faptul că un model nu este suficient de exact, Banca Națională a Moldovei revocă aprobarea de utilizare a acestuia sau impun măsuri adecvate pentru a se asigura că modelul este îmbunătățit cu promptitudine.</w:t>
            </w:r>
          </w:p>
          <w:p w14:paraId="7A90D477" w14:textId="77777777" w:rsidR="00236954" w:rsidRDefault="00236954"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5CA7EEF7"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30AEED6D"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79C3B0B6"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56325F6E"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0F3215DD"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596962DE"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71EB0AE6"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73F964EA"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37DADF44"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766350E6"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7BBD3EFF" w14:textId="77777777" w:rsidR="008070DB" w:rsidRDefault="008070DB" w:rsidP="00F10CBE">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028733CB" w14:textId="2626C768" w:rsidR="008070DB" w:rsidRPr="008070DB" w:rsidRDefault="008070DB" w:rsidP="00F10CBE">
            <w:pPr>
              <w:autoSpaceDE w:val="0"/>
              <w:autoSpaceDN w:val="0"/>
              <w:adjustRightInd w:val="0"/>
              <w:spacing w:before="60" w:after="60"/>
              <w:rPr>
                <w:rFonts w:eastAsiaTheme="minorHAnsi"/>
                <w:i/>
                <w:iCs/>
                <w:color w:val="000000"/>
                <w:sz w:val="18"/>
                <w:szCs w:val="18"/>
                <w:lang w:val="ro-MD" w:eastAsia="en-US"/>
                <w14:ligatures w14:val="standardContextual"/>
              </w:rPr>
            </w:pPr>
            <w:r w:rsidRPr="008070DB">
              <w:rPr>
                <w:rFonts w:eastAsiaTheme="minorHAnsi"/>
                <w:b/>
                <w:bCs/>
                <w:i/>
                <w:iCs/>
                <w:color w:val="000000"/>
                <w:sz w:val="18"/>
                <w:szCs w:val="18"/>
                <w:lang w:val="ro-RO" w:eastAsia="en-US"/>
                <w14:ligatures w14:val="standardContextual"/>
              </w:rPr>
              <w:t xml:space="preserve">Prevedere nouă - </w:t>
            </w:r>
            <w:r w:rsidRPr="008070DB">
              <w:rPr>
                <w:rFonts w:eastAsiaTheme="minorHAnsi"/>
                <w:i/>
                <w:iCs/>
                <w:color w:val="000000"/>
                <w:sz w:val="18"/>
                <w:szCs w:val="18"/>
                <w:lang w:val="ro-MD" w:eastAsia="en-US"/>
                <w14:ligatures w14:val="standardContextual"/>
              </w:rPr>
              <w:t xml:space="preserve">Inclusă prin </w:t>
            </w:r>
            <w:r w:rsidRPr="008070DB">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17DAAC85" w14:textId="7554E6F8" w:rsidR="00236954" w:rsidRPr="00A96E09" w:rsidRDefault="008070DB" w:rsidP="00236954">
            <w:pPr>
              <w:jc w:val="both"/>
              <w:rPr>
                <w:sz w:val="18"/>
                <w:szCs w:val="18"/>
                <w:lang w:val="ro-MD"/>
              </w:rPr>
            </w:pPr>
            <w:r>
              <w:rPr>
                <w:sz w:val="18"/>
                <w:szCs w:val="18"/>
                <w:lang w:val="ro-MD"/>
              </w:rPr>
              <w:lastRenderedPageBreak/>
              <w:t>Compatibil</w:t>
            </w:r>
          </w:p>
        </w:tc>
        <w:tc>
          <w:tcPr>
            <w:tcW w:w="4683" w:type="dxa"/>
            <w:tcBorders>
              <w:top w:val="single" w:sz="4" w:space="0" w:color="auto"/>
              <w:bottom w:val="single" w:sz="4" w:space="0" w:color="auto"/>
            </w:tcBorders>
          </w:tcPr>
          <w:p w14:paraId="3B193684" w14:textId="77777777" w:rsidR="00236954" w:rsidRPr="00A96E09" w:rsidRDefault="00236954" w:rsidP="00236954">
            <w:pPr>
              <w:rPr>
                <w:sz w:val="18"/>
                <w:szCs w:val="18"/>
                <w:lang w:val="ro-MD"/>
              </w:rPr>
            </w:pPr>
          </w:p>
        </w:tc>
      </w:tr>
      <w:tr w:rsidR="00236954" w:rsidRPr="00E57BBB" w14:paraId="43EAA930" w14:textId="77777777" w:rsidTr="00C14AF6">
        <w:trPr>
          <w:trHeight w:val="918"/>
        </w:trPr>
        <w:tc>
          <w:tcPr>
            <w:tcW w:w="3866" w:type="dxa"/>
          </w:tcPr>
          <w:p w14:paraId="48097BD1" w14:textId="77777777" w:rsidR="00236954" w:rsidRPr="00A96E09" w:rsidRDefault="00236954" w:rsidP="00236954">
            <w:pPr>
              <w:pStyle w:val="title-article-norm"/>
              <w:rPr>
                <w:i w:val="0"/>
                <w:sz w:val="18"/>
                <w:szCs w:val="18"/>
                <w:lang w:val="ro-MD"/>
              </w:rPr>
            </w:pPr>
            <w:r w:rsidRPr="00A96E09">
              <w:rPr>
                <w:i w:val="0"/>
                <w:sz w:val="18"/>
                <w:szCs w:val="18"/>
                <w:lang w:val="ro-MD"/>
              </w:rPr>
              <w:lastRenderedPageBreak/>
              <w:t xml:space="preserve">Secțiunea 7 </w:t>
            </w:r>
          </w:p>
          <w:p w14:paraId="2EDFE0C3" w14:textId="77777777" w:rsidR="00236954" w:rsidRPr="00A96E09" w:rsidRDefault="00236954" w:rsidP="00236954">
            <w:pPr>
              <w:pStyle w:val="title-article-norm"/>
              <w:rPr>
                <w:b/>
                <w:i w:val="0"/>
                <w:sz w:val="18"/>
                <w:szCs w:val="18"/>
                <w:lang w:val="ro-MD"/>
              </w:rPr>
            </w:pPr>
            <w:r w:rsidRPr="00A96E09">
              <w:rPr>
                <w:b/>
                <w:i w:val="0"/>
                <w:sz w:val="18"/>
                <w:szCs w:val="18"/>
                <w:lang w:val="ro-MD"/>
              </w:rPr>
              <w:t xml:space="preserve">Compensarea contractuală </w:t>
            </w:r>
          </w:p>
          <w:p w14:paraId="5DBE5887" w14:textId="77777777" w:rsidR="00236954" w:rsidRPr="00A96E09" w:rsidRDefault="00236954" w:rsidP="00236954">
            <w:pPr>
              <w:pStyle w:val="title-article-norm"/>
              <w:jc w:val="left"/>
              <w:rPr>
                <w:b/>
                <w:i w:val="0"/>
                <w:sz w:val="18"/>
                <w:szCs w:val="18"/>
                <w:lang w:val="ro-MD"/>
              </w:rPr>
            </w:pPr>
            <w:r w:rsidRPr="00A96E09">
              <w:rPr>
                <w:sz w:val="18"/>
                <w:szCs w:val="18"/>
                <w:lang w:val="ro-MD"/>
              </w:rPr>
              <w:t xml:space="preserve">Articolul 295 </w:t>
            </w:r>
            <w:r w:rsidRPr="00A96E09">
              <w:rPr>
                <w:b/>
                <w:i w:val="0"/>
                <w:sz w:val="18"/>
                <w:szCs w:val="18"/>
                <w:lang w:val="ro-MD"/>
              </w:rPr>
              <w:t>Recunoașterea compensării contractuale ca diminuatoare de risc</w:t>
            </w:r>
          </w:p>
          <w:p w14:paraId="6A571C04" w14:textId="77777777" w:rsidR="00236954" w:rsidRPr="00A96E09" w:rsidRDefault="00236954" w:rsidP="00236954">
            <w:pPr>
              <w:pStyle w:val="title-article-norm"/>
              <w:jc w:val="left"/>
              <w:rPr>
                <w:i w:val="0"/>
                <w:sz w:val="18"/>
                <w:szCs w:val="18"/>
                <w:lang w:val="ro-MD"/>
              </w:rPr>
            </w:pPr>
            <w:r w:rsidRPr="00A96E09">
              <w:rPr>
                <w:i w:val="0"/>
                <w:sz w:val="18"/>
                <w:szCs w:val="18"/>
                <w:lang w:val="ro-MD"/>
              </w:rPr>
              <w:t xml:space="preserve">Instituțiile pot trata numai următoarele tipuri de acorduri de compensare contractuală ca fiind diminuatoare de risc în conformitate cu articolul 298, dacă acordul de compensare a fost recunoscut de autoritățile competente în conformitate cu articolul 296 și dacă instituția îndeplinește cerințele stabilite la articolul 297: </w:t>
            </w:r>
          </w:p>
          <w:p w14:paraId="2ADAB1A7" w14:textId="77777777" w:rsidR="00236954" w:rsidRPr="00A96E09" w:rsidRDefault="00236954" w:rsidP="00236954">
            <w:pPr>
              <w:pStyle w:val="title-article-norm"/>
              <w:jc w:val="left"/>
              <w:rPr>
                <w:sz w:val="18"/>
                <w:szCs w:val="18"/>
                <w:lang w:val="ro-MD"/>
              </w:rPr>
            </w:pPr>
            <w:r w:rsidRPr="00A96E09">
              <w:rPr>
                <w:i w:val="0"/>
                <w:sz w:val="18"/>
                <w:szCs w:val="18"/>
              </w:rPr>
              <w:t xml:space="preserve">(a) </w:t>
            </w:r>
            <w:r w:rsidRPr="00A96E09">
              <w:rPr>
                <w:i w:val="0"/>
                <w:sz w:val="18"/>
                <w:szCs w:val="18"/>
                <w:lang w:val="ro-MD"/>
              </w:rPr>
              <w:t>contractele bilaterale de novație între o instituție și contrapartea sa, în temeiul cărora creanțele și datoriile</w:t>
            </w:r>
            <w:r w:rsidRPr="00A96E09">
              <w:rPr>
                <w:i w:val="0"/>
                <w:sz w:val="18"/>
                <w:szCs w:val="18"/>
              </w:rPr>
              <w:t xml:space="preserve"> </w:t>
            </w:r>
            <w:r w:rsidRPr="00A96E09">
              <w:rPr>
                <w:i w:val="0"/>
                <w:sz w:val="18"/>
                <w:szCs w:val="18"/>
                <w:lang w:val="ro-MD"/>
              </w:rPr>
              <w:t xml:space="preserve">reciproce sunt automat amalgamate în așa fel încât novația stabilește, de fiecare dată când se aplică, o singură sumă netă astfel încât să creeze un singur contract nou care înlocuiește toate contractele anterioare și toate obligațiile între părți decurgând din aceste contracte și care este obligatoriu pentru </w:t>
            </w:r>
            <w:proofErr w:type="gramStart"/>
            <w:r w:rsidRPr="00A96E09">
              <w:rPr>
                <w:i w:val="0"/>
                <w:sz w:val="18"/>
                <w:szCs w:val="18"/>
                <w:lang w:val="ro-MD"/>
              </w:rPr>
              <w:t>părți;</w:t>
            </w:r>
            <w:proofErr w:type="gramEnd"/>
            <w:r w:rsidRPr="00A96E09">
              <w:rPr>
                <w:i w:val="0"/>
                <w:sz w:val="18"/>
                <w:szCs w:val="18"/>
                <w:lang w:val="ro-MD"/>
              </w:rPr>
              <w:t xml:space="preserve"> </w:t>
            </w:r>
          </w:p>
          <w:p w14:paraId="22DE123C" w14:textId="77777777" w:rsidR="00236954" w:rsidRPr="00A96E09" w:rsidRDefault="00236954" w:rsidP="00236954">
            <w:pPr>
              <w:pStyle w:val="title-article-norm"/>
              <w:jc w:val="left"/>
              <w:rPr>
                <w:i w:val="0"/>
                <w:sz w:val="18"/>
                <w:szCs w:val="18"/>
                <w:lang w:val="ro-MD"/>
              </w:rPr>
            </w:pPr>
            <w:r w:rsidRPr="00A96E09">
              <w:rPr>
                <w:i w:val="0"/>
                <w:sz w:val="18"/>
                <w:szCs w:val="18"/>
                <w:lang w:val="ro-MD"/>
              </w:rPr>
              <w:t xml:space="preserve">(b) alte acorduri bilaterale între o instituție și contrapartea sa; </w:t>
            </w:r>
          </w:p>
          <w:p w14:paraId="3C6E54F9" w14:textId="77777777" w:rsidR="00236954" w:rsidRPr="00A96E09" w:rsidRDefault="00236954" w:rsidP="00236954">
            <w:pPr>
              <w:pStyle w:val="title-article-norm"/>
              <w:jc w:val="left"/>
              <w:rPr>
                <w:i w:val="0"/>
                <w:sz w:val="18"/>
                <w:szCs w:val="18"/>
                <w:lang w:val="ro-MD"/>
              </w:rPr>
            </w:pPr>
            <w:bookmarkStart w:id="32" w:name="_Hlk214363253"/>
            <w:r w:rsidRPr="00122E8A">
              <w:rPr>
                <w:i w:val="0"/>
                <w:sz w:val="18"/>
                <w:szCs w:val="18"/>
                <w:highlight w:val="yellow"/>
                <w:lang w:val="ro-MD"/>
              </w:rPr>
              <w:t xml:space="preserve">(c) acordurile de compensare contractuală între produse diferite, în cazul instituțiilor care au primit aprobarea să utilizeze metoda prevăzută în secțiunea 6 pentru tranzacțiile care intră în </w:t>
            </w:r>
            <w:r w:rsidRPr="00122E8A">
              <w:rPr>
                <w:i w:val="0"/>
                <w:sz w:val="18"/>
                <w:szCs w:val="18"/>
                <w:highlight w:val="yellow"/>
                <w:lang w:val="ro-MD"/>
              </w:rPr>
              <w:lastRenderedPageBreak/>
              <w:t>domeniul de aplicare a metodei respective.</w:t>
            </w:r>
            <w:r w:rsidRPr="00A96E09">
              <w:rPr>
                <w:i w:val="0"/>
                <w:sz w:val="18"/>
                <w:szCs w:val="18"/>
                <w:lang w:val="ro-MD"/>
              </w:rPr>
              <w:t xml:space="preserve"> Autoritățile competente </w:t>
            </w:r>
            <w:r w:rsidRPr="00122E8A">
              <w:rPr>
                <w:i w:val="0"/>
                <w:sz w:val="18"/>
                <w:szCs w:val="18"/>
                <w:highlight w:val="green"/>
                <w:lang w:val="ro-MD"/>
              </w:rPr>
              <w:t>transmit ABE</w:t>
            </w:r>
            <w:r w:rsidRPr="00A96E09">
              <w:rPr>
                <w:i w:val="0"/>
                <w:sz w:val="18"/>
                <w:szCs w:val="18"/>
                <w:lang w:val="ro-MD"/>
              </w:rPr>
              <w:t xml:space="preserve"> o listă a acordurilor de compensare contractuală între produse diferite aprobate.</w:t>
            </w:r>
          </w:p>
          <w:bookmarkEnd w:id="32"/>
          <w:p w14:paraId="5A010B59" w14:textId="6FBEB1BD" w:rsidR="00236954" w:rsidRPr="00A96E09" w:rsidRDefault="00236954" w:rsidP="00236954">
            <w:pPr>
              <w:pStyle w:val="title-article-norm"/>
              <w:jc w:val="left"/>
              <w:rPr>
                <w:i w:val="0"/>
                <w:sz w:val="18"/>
                <w:szCs w:val="18"/>
                <w:lang w:val="ro-MD"/>
              </w:rPr>
            </w:pPr>
            <w:r w:rsidRPr="00A96E09">
              <w:rPr>
                <w:i w:val="0"/>
                <w:sz w:val="18"/>
                <w:szCs w:val="18"/>
                <w:lang w:val="ro-MD"/>
              </w:rPr>
              <w:t>Compensarea între tranzacțiile efectuate de diferitele entități juridice ale unui grup nu este recunoscută în scopul calculării cerințelor de fonduri proprii.</w:t>
            </w:r>
          </w:p>
        </w:tc>
        <w:tc>
          <w:tcPr>
            <w:tcW w:w="4356" w:type="dxa"/>
          </w:tcPr>
          <w:p w14:paraId="01B5A556" w14:textId="77777777" w:rsidR="00236954" w:rsidRPr="00A96E09" w:rsidRDefault="00236954" w:rsidP="00236954">
            <w:pPr>
              <w:jc w:val="center"/>
              <w:rPr>
                <w:sz w:val="18"/>
                <w:szCs w:val="18"/>
                <w:lang w:val="ro-MD"/>
              </w:rPr>
            </w:pPr>
            <w:r w:rsidRPr="00A96E09">
              <w:rPr>
                <w:b/>
                <w:bCs/>
                <w:sz w:val="18"/>
                <w:szCs w:val="18"/>
                <w:lang w:val="ro-MD"/>
              </w:rPr>
              <w:lastRenderedPageBreak/>
              <w:t>Capitolul VI</w:t>
            </w:r>
          </w:p>
          <w:p w14:paraId="30948984" w14:textId="77777777" w:rsidR="00236954" w:rsidRPr="00A96E09" w:rsidRDefault="00236954" w:rsidP="00236954">
            <w:pPr>
              <w:jc w:val="center"/>
              <w:rPr>
                <w:sz w:val="18"/>
                <w:szCs w:val="18"/>
                <w:lang w:val="ro-MD"/>
              </w:rPr>
            </w:pPr>
            <w:r w:rsidRPr="00A96E09">
              <w:rPr>
                <w:b/>
                <w:bCs/>
                <w:sz w:val="18"/>
                <w:szCs w:val="18"/>
                <w:lang w:val="ro-MD"/>
              </w:rPr>
              <w:t>COMPENSAREA CONTRACTUALĂ</w:t>
            </w:r>
          </w:p>
          <w:p w14:paraId="4D6C6C6A" w14:textId="77777777" w:rsidR="00236954" w:rsidRPr="00A96E09" w:rsidRDefault="00236954" w:rsidP="00236954">
            <w:pPr>
              <w:jc w:val="center"/>
              <w:rPr>
                <w:sz w:val="18"/>
                <w:szCs w:val="18"/>
                <w:lang w:val="ro-MD"/>
              </w:rPr>
            </w:pPr>
          </w:p>
          <w:p w14:paraId="1FB32E5B" w14:textId="77777777" w:rsidR="00236954" w:rsidRPr="00A96E09" w:rsidRDefault="00236954" w:rsidP="00236954">
            <w:pPr>
              <w:ind w:firstLine="567"/>
              <w:jc w:val="center"/>
              <w:rPr>
                <w:sz w:val="18"/>
                <w:szCs w:val="18"/>
                <w:lang w:val="ro-MD" w:eastAsia="en-US"/>
              </w:rPr>
            </w:pPr>
            <w:r w:rsidRPr="00A96E09">
              <w:rPr>
                <w:bCs/>
                <w:i/>
                <w:iCs/>
                <w:sz w:val="18"/>
                <w:szCs w:val="18"/>
                <w:lang w:val="ro-MD" w:eastAsia="en-US"/>
              </w:rPr>
              <w:t>Secţiunea 1</w:t>
            </w:r>
          </w:p>
          <w:p w14:paraId="38061347" w14:textId="77777777" w:rsidR="00236954" w:rsidRPr="00A96E09" w:rsidRDefault="00236954" w:rsidP="00236954">
            <w:pPr>
              <w:ind w:firstLine="567"/>
              <w:jc w:val="center"/>
              <w:rPr>
                <w:b/>
                <w:bCs/>
                <w:sz w:val="18"/>
                <w:szCs w:val="18"/>
                <w:lang w:val="ro-MD" w:eastAsia="en-US"/>
              </w:rPr>
            </w:pPr>
            <w:r w:rsidRPr="00A96E09">
              <w:rPr>
                <w:b/>
                <w:bCs/>
                <w:sz w:val="18"/>
                <w:szCs w:val="18"/>
                <w:lang w:val="ro-MD" w:eastAsia="en-US"/>
              </w:rPr>
              <w:t>Recunoaşterea compensării contractuale ca diminuatoare de risc</w:t>
            </w:r>
          </w:p>
          <w:p w14:paraId="0727250F" w14:textId="75081606" w:rsidR="00236954" w:rsidRPr="00A96E09" w:rsidRDefault="00236954" w:rsidP="00236954">
            <w:pPr>
              <w:tabs>
                <w:tab w:val="left" w:pos="428"/>
              </w:tabs>
              <w:jc w:val="both"/>
              <w:rPr>
                <w:sz w:val="18"/>
                <w:szCs w:val="18"/>
                <w:lang w:val="ro-MD" w:eastAsia="en-US"/>
              </w:rPr>
            </w:pPr>
            <w:r w:rsidRPr="00A96E09">
              <w:rPr>
                <w:b/>
                <w:bCs/>
                <w:sz w:val="18"/>
                <w:szCs w:val="18"/>
                <w:lang w:val="ro-MD" w:eastAsia="en-US"/>
              </w:rPr>
              <w:t>106.</w:t>
            </w:r>
            <w:r w:rsidRPr="00A96E09">
              <w:rPr>
                <w:b/>
                <w:bCs/>
                <w:sz w:val="18"/>
                <w:szCs w:val="18"/>
                <w:lang w:val="ro-MD" w:eastAsia="en-US"/>
              </w:rPr>
              <w:tab/>
            </w:r>
            <w:r w:rsidRPr="00A96E09">
              <w:rPr>
                <w:sz w:val="18"/>
                <w:szCs w:val="18"/>
                <w:lang w:val="ro-MD" w:eastAsia="en-US"/>
              </w:rPr>
              <w:t xml:space="preserve"> Băncile tratează numai următoarele tipuri de acorduri de compensare contractuală ca fiind diminuatoare de risc în conformitate cu punctul 117, dacă acordul de compensare a fost recunoscut de Banca Naţională a Moldovei în conformitate cu punctele 108-111 şi dacă banca îndeplineşte cerinţele stabilite la punctele 112-116:</w:t>
            </w:r>
          </w:p>
          <w:p w14:paraId="03C558C4" w14:textId="4530F1EE" w:rsidR="00236954" w:rsidRPr="00A96E09" w:rsidRDefault="00236954" w:rsidP="00236954">
            <w:pPr>
              <w:tabs>
                <w:tab w:val="left" w:pos="569"/>
              </w:tabs>
              <w:jc w:val="both"/>
              <w:rPr>
                <w:sz w:val="18"/>
                <w:szCs w:val="18"/>
                <w:lang w:val="ro-MD" w:eastAsia="en-US"/>
              </w:rPr>
            </w:pPr>
            <w:r w:rsidRPr="00A96E09">
              <w:rPr>
                <w:sz w:val="18"/>
                <w:szCs w:val="18"/>
                <w:lang w:val="ro-MD" w:eastAsia="en-US"/>
              </w:rPr>
              <w:t>106.1.</w:t>
            </w:r>
            <w:r w:rsidRPr="00A96E09">
              <w:rPr>
                <w:sz w:val="18"/>
                <w:szCs w:val="18"/>
                <w:lang w:val="ro-MD" w:eastAsia="en-US"/>
              </w:rPr>
              <w:tab/>
              <w:t>contractele bilaterale de novaţie între bancă şi contrapartea sa, în temeiul cărora creanţele şi datoriile reciproce sunt automat comasate în aşa fel încât novaţia stabileşte, de fiecare dată când se aplică, o singură sumă netă astfel încât să creeze un singur contract nou care înlocuieşte toate contractele anterioare şi toate obligaţiile între părţi decurgând din aceste contracte şi care este obligatoriu pentru părţi;</w:t>
            </w:r>
          </w:p>
          <w:p w14:paraId="44EB000A" w14:textId="2CA3E0AA" w:rsidR="00236954" w:rsidRDefault="00236954" w:rsidP="00236954">
            <w:pPr>
              <w:tabs>
                <w:tab w:val="left" w:pos="569"/>
              </w:tabs>
              <w:jc w:val="both"/>
              <w:rPr>
                <w:sz w:val="18"/>
                <w:szCs w:val="18"/>
                <w:lang w:val="ro-MD" w:eastAsia="en-US"/>
              </w:rPr>
            </w:pPr>
            <w:r w:rsidRPr="00A96E09">
              <w:rPr>
                <w:sz w:val="18"/>
                <w:szCs w:val="18"/>
                <w:lang w:val="ro-MD" w:eastAsia="en-US"/>
              </w:rPr>
              <w:t>106.2.</w:t>
            </w:r>
            <w:r w:rsidRPr="00A96E09">
              <w:rPr>
                <w:sz w:val="18"/>
                <w:szCs w:val="18"/>
                <w:lang w:val="ro-MD" w:eastAsia="en-US"/>
              </w:rPr>
              <w:tab/>
              <w:t>alte contracte bilaterale (decât cele indicate la subpunctul 106.1.) între bancă şi contrapartea sa</w:t>
            </w:r>
            <w:r>
              <w:rPr>
                <w:sz w:val="18"/>
                <w:szCs w:val="18"/>
                <w:lang w:val="ro-MD" w:eastAsia="en-US"/>
              </w:rPr>
              <w:t>;</w:t>
            </w:r>
          </w:p>
          <w:p w14:paraId="2FAC22C1" w14:textId="0EBFBB19" w:rsidR="00236954" w:rsidRPr="00BC3DD9" w:rsidRDefault="00236954" w:rsidP="00236954">
            <w:pPr>
              <w:tabs>
                <w:tab w:val="left" w:pos="569"/>
              </w:tabs>
              <w:jc w:val="both"/>
              <w:rPr>
                <w:i/>
                <w:iCs/>
                <w:sz w:val="18"/>
                <w:szCs w:val="18"/>
                <w:lang w:val="en-US" w:eastAsia="en-US"/>
              </w:rPr>
            </w:pPr>
            <w:r w:rsidRPr="00BC3DD9">
              <w:rPr>
                <w:i/>
                <w:iCs/>
                <w:sz w:val="18"/>
                <w:szCs w:val="18"/>
                <w:lang w:val="en-US" w:eastAsia="ro-MD"/>
              </w:rPr>
              <w:t>106.3. acordurile de compensare contractuală între produse diferite, în cazul băncilor care au primit aprobarea să utilizeze metoda prevăzută în capitolul IX pentru tranzacțiile care intră în domeniul de aplicare a metodei respective.</w:t>
            </w:r>
          </w:p>
          <w:p w14:paraId="3D75CEC1" w14:textId="77777777" w:rsidR="00236954" w:rsidRDefault="00236954" w:rsidP="00236954">
            <w:pPr>
              <w:tabs>
                <w:tab w:val="left" w:pos="428"/>
              </w:tabs>
              <w:autoSpaceDE w:val="0"/>
              <w:autoSpaceDN w:val="0"/>
              <w:adjustRightInd w:val="0"/>
              <w:spacing w:before="60" w:after="60"/>
              <w:jc w:val="both"/>
              <w:rPr>
                <w:sz w:val="18"/>
                <w:szCs w:val="18"/>
                <w:lang w:val="ro-MD" w:eastAsia="en-US"/>
              </w:rPr>
            </w:pPr>
            <w:r w:rsidRPr="00A96E09">
              <w:rPr>
                <w:b/>
                <w:bCs/>
                <w:sz w:val="18"/>
                <w:szCs w:val="18"/>
                <w:lang w:val="ro-MD" w:eastAsia="en-US"/>
              </w:rPr>
              <w:t>107.</w:t>
            </w:r>
            <w:r w:rsidRPr="00A96E09">
              <w:rPr>
                <w:b/>
                <w:bCs/>
                <w:sz w:val="18"/>
                <w:szCs w:val="18"/>
                <w:lang w:val="ro-MD" w:eastAsia="en-US"/>
              </w:rPr>
              <w:tab/>
            </w:r>
            <w:r w:rsidRPr="00A96E09">
              <w:rPr>
                <w:sz w:val="18"/>
                <w:szCs w:val="18"/>
                <w:lang w:val="ro-MD" w:eastAsia="en-US"/>
              </w:rPr>
              <w:t>Compensarea între tranzacțiile efectuate de diferitele entități juridice ale unui grup nu este recunoscută în scopul calculării cerinţelor de fonduri proprii.</w:t>
            </w:r>
          </w:p>
          <w:p w14:paraId="19C07650" w14:textId="77777777" w:rsidR="00236954" w:rsidRDefault="00236954" w:rsidP="00236954">
            <w:pPr>
              <w:tabs>
                <w:tab w:val="left" w:pos="428"/>
              </w:tabs>
              <w:autoSpaceDE w:val="0"/>
              <w:autoSpaceDN w:val="0"/>
              <w:adjustRightInd w:val="0"/>
              <w:spacing w:before="60" w:after="60"/>
              <w:jc w:val="both"/>
              <w:rPr>
                <w:sz w:val="18"/>
                <w:szCs w:val="18"/>
                <w:lang w:val="ro-MD" w:eastAsia="en-US"/>
              </w:rPr>
            </w:pPr>
          </w:p>
          <w:p w14:paraId="78CFBAA5" w14:textId="77777777" w:rsidR="00236954" w:rsidRDefault="00236954" w:rsidP="00236954">
            <w:pPr>
              <w:tabs>
                <w:tab w:val="left" w:pos="428"/>
              </w:tabs>
              <w:autoSpaceDE w:val="0"/>
              <w:autoSpaceDN w:val="0"/>
              <w:adjustRightInd w:val="0"/>
              <w:spacing w:before="60" w:after="60"/>
              <w:jc w:val="both"/>
              <w:rPr>
                <w:sz w:val="18"/>
                <w:szCs w:val="18"/>
                <w:lang w:val="ro-MD" w:eastAsia="en-US"/>
              </w:rPr>
            </w:pPr>
          </w:p>
          <w:p w14:paraId="0B869EF4" w14:textId="77777777" w:rsidR="00236954" w:rsidRDefault="00236954" w:rsidP="00236954">
            <w:pPr>
              <w:tabs>
                <w:tab w:val="left" w:pos="428"/>
              </w:tabs>
              <w:autoSpaceDE w:val="0"/>
              <w:autoSpaceDN w:val="0"/>
              <w:adjustRightInd w:val="0"/>
              <w:spacing w:before="60" w:after="60"/>
              <w:jc w:val="both"/>
              <w:rPr>
                <w:sz w:val="18"/>
                <w:szCs w:val="18"/>
                <w:lang w:val="ro-MD" w:eastAsia="en-US"/>
              </w:rPr>
            </w:pPr>
          </w:p>
          <w:p w14:paraId="207D8F02" w14:textId="77777777" w:rsidR="00236954" w:rsidRDefault="00236954" w:rsidP="00236954">
            <w:pPr>
              <w:tabs>
                <w:tab w:val="left" w:pos="428"/>
              </w:tabs>
              <w:autoSpaceDE w:val="0"/>
              <w:autoSpaceDN w:val="0"/>
              <w:adjustRightInd w:val="0"/>
              <w:spacing w:before="60" w:after="60"/>
              <w:jc w:val="both"/>
              <w:rPr>
                <w:sz w:val="18"/>
                <w:szCs w:val="18"/>
                <w:lang w:val="ro-MD" w:eastAsia="en-US"/>
              </w:rPr>
            </w:pPr>
          </w:p>
          <w:p w14:paraId="458825F2" w14:textId="77777777" w:rsidR="00236954" w:rsidRDefault="00236954" w:rsidP="00236954">
            <w:pPr>
              <w:tabs>
                <w:tab w:val="left" w:pos="428"/>
              </w:tabs>
              <w:autoSpaceDE w:val="0"/>
              <w:autoSpaceDN w:val="0"/>
              <w:adjustRightInd w:val="0"/>
              <w:spacing w:before="60" w:after="60"/>
              <w:jc w:val="both"/>
              <w:rPr>
                <w:sz w:val="18"/>
                <w:szCs w:val="18"/>
                <w:lang w:val="ro-MD" w:eastAsia="en-US"/>
              </w:rPr>
            </w:pPr>
          </w:p>
          <w:p w14:paraId="751D3A42" w14:textId="0E4484F4"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14:ligatures w14:val="standardContextual"/>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 xml:space="preserve">Regulamentul nr.220/2025, </w:t>
            </w:r>
            <w:r w:rsidRPr="002305DE">
              <w:rPr>
                <w:rFonts w:eastAsiaTheme="minorHAnsi"/>
                <w:b/>
                <w:bCs/>
                <w:i/>
                <w:iCs/>
                <w:color w:val="000000"/>
                <w:sz w:val="18"/>
                <w:szCs w:val="18"/>
                <w:lang w:val="ro-RO" w:eastAsia="en-US"/>
                <w14:ligatures w14:val="standardContextual"/>
              </w:rPr>
              <w:t>cu excepția</w:t>
            </w:r>
            <w:r>
              <w:rPr>
                <w:rFonts w:eastAsiaTheme="minorHAnsi"/>
                <w:b/>
                <w:bCs/>
                <w:i/>
                <w:iCs/>
                <w:color w:val="000000"/>
                <w:sz w:val="18"/>
                <w:szCs w:val="18"/>
                <w:lang w:val="ro-RO" w:eastAsia="en-US"/>
                <w14:ligatures w14:val="standardContextual"/>
              </w:rPr>
              <w:t xml:space="preserve"> sub</w:t>
            </w:r>
            <w:r w:rsidRPr="002305DE">
              <w:rPr>
                <w:rFonts w:eastAsiaTheme="minorHAnsi"/>
                <w:b/>
                <w:bCs/>
                <w:i/>
                <w:iCs/>
                <w:color w:val="000000"/>
                <w:sz w:val="18"/>
                <w:szCs w:val="18"/>
                <w:lang w:val="ro-RO" w:eastAsia="en-US"/>
                <w14:ligatures w14:val="standardContextual"/>
              </w:rPr>
              <w:t>pct.</w:t>
            </w:r>
            <w:r>
              <w:rPr>
                <w:rFonts w:eastAsiaTheme="minorHAnsi"/>
                <w:b/>
                <w:bCs/>
                <w:i/>
                <w:iCs/>
                <w:color w:val="000000"/>
                <w:sz w:val="18"/>
                <w:szCs w:val="18"/>
                <w:lang w:val="ro-RO" w:eastAsia="en-US"/>
                <w14:ligatures w14:val="standardContextual"/>
              </w:rPr>
              <w:t>106.3</w:t>
            </w:r>
            <w:r w:rsidRPr="002305DE">
              <w:rPr>
                <w:rFonts w:eastAsiaTheme="minorHAnsi"/>
                <w:b/>
                <w:bCs/>
                <w:i/>
                <w:iCs/>
                <w:color w:val="000000"/>
                <w:sz w:val="18"/>
                <w:szCs w:val="18"/>
                <w:lang w:val="ro-RO" w:eastAsia="en-US"/>
                <w14:ligatures w14:val="standardContextual"/>
              </w:rPr>
              <w:t xml:space="preserve"> - prevedere nouă - </w:t>
            </w:r>
            <w:r w:rsidRPr="002305DE">
              <w:rPr>
                <w:rFonts w:eastAsiaTheme="minorHAnsi"/>
                <w:i/>
                <w:iCs/>
                <w:color w:val="000000"/>
                <w:sz w:val="18"/>
                <w:szCs w:val="18"/>
                <w:lang w:val="ro-MD" w:eastAsia="en-US"/>
                <w14:ligatures w14:val="standardContextual"/>
              </w:rPr>
              <w:t xml:space="preserve">Inclusă prin </w:t>
            </w:r>
            <w:r w:rsidRPr="002305DE">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7D50E983" w14:textId="6D1A47F8" w:rsidR="00236954" w:rsidRPr="00A96E09" w:rsidRDefault="00236954" w:rsidP="00236954">
            <w:pPr>
              <w:jc w:val="both"/>
              <w:rPr>
                <w:sz w:val="18"/>
                <w:szCs w:val="18"/>
                <w:lang w:val="ro-MD"/>
              </w:rPr>
            </w:pPr>
            <w:r>
              <w:rPr>
                <w:sz w:val="18"/>
                <w:szCs w:val="18"/>
                <w:lang w:val="ro-MD"/>
              </w:rPr>
              <w:lastRenderedPageBreak/>
              <w:t>C</w:t>
            </w:r>
            <w:r w:rsidRPr="00A96E09">
              <w:rPr>
                <w:sz w:val="18"/>
                <w:szCs w:val="18"/>
                <w:lang w:val="ro-MD"/>
              </w:rPr>
              <w:t>ompatibil</w:t>
            </w:r>
          </w:p>
        </w:tc>
        <w:tc>
          <w:tcPr>
            <w:tcW w:w="4683" w:type="dxa"/>
            <w:tcBorders>
              <w:top w:val="single" w:sz="4" w:space="0" w:color="auto"/>
              <w:bottom w:val="single" w:sz="4" w:space="0" w:color="auto"/>
            </w:tcBorders>
          </w:tcPr>
          <w:p w14:paraId="4601A549" w14:textId="2447DB86" w:rsidR="00236954" w:rsidRPr="00A96E09" w:rsidRDefault="00236954" w:rsidP="00236954">
            <w:pPr>
              <w:rPr>
                <w:sz w:val="18"/>
                <w:szCs w:val="18"/>
                <w:lang w:val="ro-MD"/>
              </w:rPr>
            </w:pPr>
          </w:p>
        </w:tc>
      </w:tr>
      <w:tr w:rsidR="00236954" w:rsidRPr="00A96E09" w14:paraId="3ABB6CB5" w14:textId="77777777" w:rsidTr="00C14AF6">
        <w:trPr>
          <w:trHeight w:val="918"/>
        </w:trPr>
        <w:tc>
          <w:tcPr>
            <w:tcW w:w="3866" w:type="dxa"/>
          </w:tcPr>
          <w:p w14:paraId="3E72897E" w14:textId="77777777" w:rsidR="00236954" w:rsidRPr="00A96E09" w:rsidRDefault="00236954" w:rsidP="00236954">
            <w:pPr>
              <w:pStyle w:val="title-article-norm"/>
              <w:rPr>
                <w:i w:val="0"/>
                <w:sz w:val="18"/>
                <w:szCs w:val="18"/>
                <w:lang w:val="ro-MD"/>
              </w:rPr>
            </w:pPr>
            <w:r w:rsidRPr="00A96E09">
              <w:rPr>
                <w:sz w:val="18"/>
                <w:szCs w:val="18"/>
                <w:lang w:val="ro-MD"/>
              </w:rPr>
              <w:t>Articolul 296</w:t>
            </w:r>
            <w:r w:rsidRPr="00A96E09">
              <w:rPr>
                <w:i w:val="0"/>
                <w:sz w:val="18"/>
                <w:szCs w:val="18"/>
                <w:lang w:val="ro-MD"/>
              </w:rPr>
              <w:t xml:space="preserve"> </w:t>
            </w:r>
            <w:r w:rsidRPr="00A96E09">
              <w:rPr>
                <w:b/>
                <w:i w:val="0"/>
                <w:sz w:val="18"/>
                <w:szCs w:val="18"/>
                <w:lang w:val="ro-MD"/>
              </w:rPr>
              <w:t>Recunoașterea acordurilor de compensare contractuală</w:t>
            </w:r>
            <w:r w:rsidRPr="00A96E09">
              <w:rPr>
                <w:i w:val="0"/>
                <w:sz w:val="18"/>
                <w:szCs w:val="18"/>
                <w:lang w:val="ro-MD"/>
              </w:rPr>
              <w:t xml:space="preserve"> </w:t>
            </w:r>
          </w:p>
          <w:p w14:paraId="4B117D9D"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(1) Autoritățile competente recunosc un acord de compensare contractuală numai dacă sunt îndeplinite condițiile prevăzute la alineatul (2) și, după caz, la alineatul (3). </w:t>
            </w:r>
          </w:p>
          <w:p w14:paraId="790CDDE0"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(2) Toate acordurile de compensare contractuală utilizate de o instituție pentru a determina valoarea expunerii în cadrul acestei părți trebuie să îndeplinească următoarele condiții: </w:t>
            </w:r>
          </w:p>
          <w:p w14:paraId="7DA8E583" w14:textId="77777777" w:rsidR="00236954" w:rsidRPr="00A96E09" w:rsidRDefault="00236954" w:rsidP="00236954">
            <w:pPr>
              <w:pStyle w:val="title-article-norm"/>
              <w:jc w:val="both"/>
              <w:rPr>
                <w:i w:val="0"/>
                <w:sz w:val="18"/>
                <w:szCs w:val="18"/>
                <w:lang w:val="ro-MD"/>
              </w:rPr>
            </w:pPr>
            <w:r w:rsidRPr="00A96E09">
              <w:rPr>
                <w:i w:val="0"/>
                <w:sz w:val="18"/>
                <w:szCs w:val="18"/>
                <w:lang w:val="ro-MD"/>
              </w:rPr>
              <w:t>(a) instituția a încheiat un acord de compensare contractuală cu contrapartea sa, care creează o singură obligație juridică acoperind toate tranzacțiile incluse, astfel încât, în cazul în care contrapartea ar intra în stare de nerambursare, instituția ar avea dreptul să primească sau ar fi obligată să plătească numai suma netă a valorilor pozitive și negative marcate la piață ale tranzacțiilor individuale incluse;</w:t>
            </w:r>
          </w:p>
          <w:p w14:paraId="5379DEA1"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(b) instituția a pus la dispoziția autorităților competente opinii juridice scrise, fundamentate, în care se precizează că, în cazul contestării în instanță a acordului de compensare, creanțele și datoriile instituției nu ar depăși cele menționate la </w:t>
            </w:r>
            <w:r w:rsidRPr="00A96E09">
              <w:rPr>
                <w:i w:val="0"/>
                <w:sz w:val="18"/>
                <w:szCs w:val="18"/>
                <w:lang w:val="ro-MD"/>
              </w:rPr>
              <w:lastRenderedPageBreak/>
              <w:t xml:space="preserve">litera (a). Opinia juridică trebuie să se refere la legislația aplicabilă: </w:t>
            </w:r>
          </w:p>
          <w:p w14:paraId="055EB310"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(i) în jurisdicția în care este înregistrată contrapartea; </w:t>
            </w:r>
          </w:p>
          <w:p w14:paraId="1D0827DC"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(ii) dacă este implicată o sucursală a unei întreprinderi, care este situată în altă țară decât cea în care este înregistrată întreprinderea, în jurisdicția în care este situată sucursala; </w:t>
            </w:r>
          </w:p>
          <w:p w14:paraId="5CEDDB7E"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(iii) în jurisdicția ale cărei legi guvernează tranzacțiile individuale incluse în acordul de compensare; </w:t>
            </w:r>
          </w:p>
          <w:p w14:paraId="2C0A4FEF" w14:textId="77777777" w:rsidR="00236954" w:rsidRPr="00A96E09" w:rsidRDefault="00236954" w:rsidP="00236954">
            <w:pPr>
              <w:pStyle w:val="title-article-norm"/>
              <w:jc w:val="both"/>
              <w:rPr>
                <w:i w:val="0"/>
                <w:sz w:val="18"/>
                <w:szCs w:val="18"/>
                <w:lang w:val="ro-MD"/>
              </w:rPr>
            </w:pPr>
            <w:r w:rsidRPr="00A96E09">
              <w:rPr>
                <w:i w:val="0"/>
                <w:sz w:val="18"/>
                <w:szCs w:val="18"/>
                <w:lang w:val="ro-MD"/>
              </w:rPr>
              <w:t>(iv) în jurisdicția ale cărei legi guvernează orice contract sau acord necesar efectuării compensării contractuale;</w:t>
            </w:r>
          </w:p>
          <w:p w14:paraId="22A95187"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(c) riscul de credit față de fiecare contraparte este agregat pentru a obține o singură expunere din punct de vedere juridic pentru toate tranzacțiile cu contrapartea respectivă. Această agregare se ia în considerare pentru scopurile limitei de creditare și ale capitalului intern; </w:t>
            </w:r>
          </w:p>
          <w:p w14:paraId="54A96961"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(d) contractul nu conține nicio clauză care, în cazul intrării unei contrapărți în stare de nerambursare, permite unei contrapărți care nu se află în stare de nerambursare să efectueze numai plăți limitate sau să nu efectueze nicio plată în favoarea contrapărții aflate în stare de nerambursare, chiar dacă aceasta din urmă este un creditor net [de exemplu, o clauză de retragere (clauză de tip „walk-away”)]. </w:t>
            </w:r>
          </w:p>
          <w:p w14:paraId="023C9711"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Dacă una dintre autoritățile competente nu primește dovezi satisfăcătoare potrivit cărora compensarea contractuală este valabilă și executorie din punct de vedere juridic, în temeiul </w:t>
            </w:r>
            <w:r w:rsidRPr="00A96E09">
              <w:rPr>
                <w:i w:val="0"/>
                <w:sz w:val="18"/>
                <w:szCs w:val="18"/>
                <w:lang w:val="ro-MD"/>
              </w:rPr>
              <w:lastRenderedPageBreak/>
              <w:t xml:space="preserve">legislației fiecăreia dintre jurisdicțiile menționate la litera (b), acordul de compensare contractuală nu este recunoscut ca diminuator de risc pentru niciuna dintre contrapărți. Autoritățile competente se informează reciproc în această privință. </w:t>
            </w:r>
          </w:p>
          <w:p w14:paraId="697C1F12"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(3) Opiniile juridice menționate la litera (b) pot fi redactate cu referire la tipurile de compensare contractuală. Acordurile de compensare contractuală între produse diferite trebuie să îndeplinească următoarele condiții suplimentare: </w:t>
            </w:r>
          </w:p>
          <w:p w14:paraId="59C0E2B6" w14:textId="77777777" w:rsidR="00236954" w:rsidRPr="00A96E09" w:rsidRDefault="00236954" w:rsidP="00236954">
            <w:pPr>
              <w:pStyle w:val="title-article-norm"/>
              <w:jc w:val="both"/>
              <w:rPr>
                <w:i w:val="0"/>
                <w:sz w:val="18"/>
                <w:szCs w:val="18"/>
                <w:lang w:val="ro-MD"/>
              </w:rPr>
            </w:pPr>
            <w:r w:rsidRPr="00A96E09">
              <w:rPr>
                <w:i w:val="0"/>
                <w:sz w:val="18"/>
                <w:szCs w:val="18"/>
                <w:lang w:val="ro-MD"/>
              </w:rPr>
              <w:t>(a) suma netă menționată la alineatul (2) litera (a) este suma netă a valorilor de închidere pozitive și negative ale oricărui acord-cadru bilateral individual inclus și a valorilor pozitive și negative marcate la piață ale tranzacțiilor individuale („cuantumul net pentru toate produsele”);</w:t>
            </w:r>
          </w:p>
          <w:p w14:paraId="46BCCB33" w14:textId="57C6438C" w:rsidR="00236954" w:rsidRPr="00A96E09" w:rsidRDefault="00236954" w:rsidP="00236954">
            <w:pPr>
              <w:pStyle w:val="title-article-norm"/>
              <w:jc w:val="left"/>
              <w:rPr>
                <w:i w:val="0"/>
                <w:sz w:val="18"/>
                <w:szCs w:val="18"/>
                <w:lang w:val="ro-MD"/>
              </w:rPr>
            </w:pPr>
            <w:r w:rsidRPr="00A96E09">
              <w:rPr>
                <w:i w:val="0"/>
                <w:sz w:val="18"/>
                <w:szCs w:val="18"/>
                <w:lang w:val="ro-MD"/>
              </w:rPr>
              <w:t>(b) opiniile juridice menționate la alineatul (2) litera (b) se referă la valabilitatea și la caracterul executoriu ale întregului acord de compensare contractuală între produse diferite în conformitate cu termenii săi și la impactul acordului de compensare asupra dispozițiilor relevante ale oricărui acord-cadru bilateral individual inclus.</w:t>
            </w:r>
          </w:p>
        </w:tc>
        <w:tc>
          <w:tcPr>
            <w:tcW w:w="4356" w:type="dxa"/>
          </w:tcPr>
          <w:p w14:paraId="795AE523" w14:textId="77777777" w:rsidR="00236954" w:rsidRPr="00A96E09" w:rsidRDefault="00236954" w:rsidP="00236954">
            <w:pPr>
              <w:pStyle w:val="ListParagraph"/>
              <w:ind w:left="0" w:firstLine="426"/>
              <w:jc w:val="center"/>
              <w:rPr>
                <w:sz w:val="18"/>
                <w:szCs w:val="18"/>
                <w:lang w:val="ro-MD"/>
              </w:rPr>
            </w:pPr>
            <w:bookmarkStart w:id="33" w:name="_Hlk162995099"/>
            <w:r w:rsidRPr="00A96E09">
              <w:rPr>
                <w:bCs/>
                <w:i/>
                <w:iCs/>
                <w:sz w:val="18"/>
                <w:szCs w:val="18"/>
                <w:lang w:val="ro-MD"/>
              </w:rPr>
              <w:lastRenderedPageBreak/>
              <w:t>Secţiunea a 2-a</w:t>
            </w:r>
          </w:p>
          <w:bookmarkEnd w:id="33"/>
          <w:p w14:paraId="2F15576B" w14:textId="77777777" w:rsidR="00236954" w:rsidRPr="00A96E09" w:rsidRDefault="00236954" w:rsidP="00236954">
            <w:pPr>
              <w:pStyle w:val="ListParagraph"/>
              <w:ind w:left="0" w:firstLine="426"/>
              <w:jc w:val="center"/>
              <w:rPr>
                <w:b/>
                <w:bCs/>
                <w:sz w:val="18"/>
                <w:szCs w:val="18"/>
                <w:lang w:val="ro-MD"/>
              </w:rPr>
            </w:pPr>
            <w:r w:rsidRPr="00A96E09">
              <w:rPr>
                <w:b/>
                <w:bCs/>
                <w:sz w:val="18"/>
                <w:szCs w:val="18"/>
                <w:lang w:val="ro-MD"/>
              </w:rPr>
              <w:t>Recunoaşterea acordurilor de compensare contractuală</w:t>
            </w:r>
          </w:p>
          <w:p w14:paraId="14D2407C" w14:textId="3CC93B1C" w:rsidR="00236954" w:rsidRPr="006D77F3" w:rsidRDefault="00236954" w:rsidP="00236954">
            <w:pPr>
              <w:spacing w:after="160" w:line="259" w:lineRule="auto"/>
              <w:ind w:hanging="12"/>
              <w:contextualSpacing/>
              <w:jc w:val="both"/>
              <w:rPr>
                <w:sz w:val="18"/>
                <w:szCs w:val="18"/>
                <w:lang w:val="ro-MD" w:eastAsia="en-US"/>
              </w:rPr>
            </w:pPr>
            <w:bookmarkStart w:id="34" w:name="_Ref168580705"/>
            <w:r w:rsidRPr="00A96E09">
              <w:rPr>
                <w:b/>
                <w:sz w:val="18"/>
                <w:szCs w:val="18"/>
                <w:lang w:val="ro-MD"/>
              </w:rPr>
              <w:t>108.</w:t>
            </w:r>
            <w:r w:rsidRPr="00A96E09">
              <w:rPr>
                <w:bCs/>
                <w:sz w:val="18"/>
                <w:szCs w:val="18"/>
                <w:lang w:val="ro-MD"/>
              </w:rPr>
              <w:t xml:space="preserve"> </w:t>
            </w:r>
            <w:r w:rsidRPr="006D77F3">
              <w:rPr>
                <w:bCs/>
                <w:sz w:val="18"/>
                <w:szCs w:val="18"/>
                <w:lang w:val="ro-MD"/>
              </w:rPr>
              <w:t>Banca Națională a Moldovei recunoaște un acord de compensare contractuală numai dacă sunt îndeplinite condițiile prevăzute la punctele 109 și 110, după caz punctul 111.</w:t>
            </w:r>
          </w:p>
          <w:p w14:paraId="61008AD8" w14:textId="0A5587D8" w:rsidR="00236954" w:rsidRPr="006D77F3" w:rsidRDefault="00236954" w:rsidP="00236954">
            <w:pPr>
              <w:spacing w:after="160" w:line="259" w:lineRule="auto"/>
              <w:ind w:hanging="12"/>
              <w:contextualSpacing/>
              <w:jc w:val="both"/>
              <w:rPr>
                <w:sz w:val="18"/>
                <w:szCs w:val="18"/>
                <w:lang w:val="ro-MD" w:eastAsia="en-US"/>
              </w:rPr>
            </w:pPr>
            <w:r w:rsidRPr="00A96E09">
              <w:rPr>
                <w:b/>
                <w:bCs/>
                <w:sz w:val="18"/>
                <w:szCs w:val="18"/>
                <w:lang w:val="ro-MD" w:eastAsia="en-US"/>
              </w:rPr>
              <w:t>109.</w:t>
            </w:r>
            <w:r w:rsidRPr="00A96E09">
              <w:rPr>
                <w:sz w:val="18"/>
                <w:szCs w:val="18"/>
                <w:lang w:val="ro-MD" w:eastAsia="en-US"/>
              </w:rPr>
              <w:t xml:space="preserve"> </w:t>
            </w:r>
            <w:r w:rsidRPr="006D77F3">
              <w:rPr>
                <w:sz w:val="18"/>
                <w:szCs w:val="18"/>
                <w:lang w:val="ro-MD" w:eastAsia="en-US"/>
              </w:rPr>
              <w:t>Toate acordurile de compensare contractuală utilizate de bancă pentru a determina valoarea expunerii în cadrul acestei părţi trebuie să îndeplinească următoarele condiţii:</w:t>
            </w:r>
            <w:bookmarkEnd w:id="34"/>
          </w:p>
          <w:p w14:paraId="6CDB6A57" w14:textId="73537A3C" w:rsidR="00236954" w:rsidRPr="006D77F3" w:rsidRDefault="00236954" w:rsidP="00236954">
            <w:pPr>
              <w:tabs>
                <w:tab w:val="left" w:pos="1134"/>
              </w:tabs>
              <w:spacing w:after="160" w:line="259" w:lineRule="auto"/>
              <w:ind w:hanging="12"/>
              <w:contextualSpacing/>
              <w:jc w:val="both"/>
              <w:rPr>
                <w:sz w:val="18"/>
                <w:szCs w:val="18"/>
                <w:lang w:val="ro-MD" w:eastAsia="en-US"/>
              </w:rPr>
            </w:pPr>
            <w:bookmarkStart w:id="35" w:name="_Ref169001775"/>
            <w:r w:rsidRPr="00A96E09">
              <w:rPr>
                <w:sz w:val="18"/>
                <w:szCs w:val="18"/>
                <w:lang w:val="ro-MD" w:eastAsia="en-US"/>
              </w:rPr>
              <w:t xml:space="preserve">109.1. </w:t>
            </w:r>
            <w:r w:rsidRPr="006D77F3">
              <w:rPr>
                <w:sz w:val="18"/>
                <w:szCs w:val="18"/>
                <w:lang w:val="ro-MD" w:eastAsia="en-US"/>
              </w:rPr>
              <w:t>banca a încheiat un acord de compensare contractuală cu contrapartea sa, care creează o singură obligaţie juridică acoperind toate tranzacţiile incluse, astfel încât în cazul în care contrapartea ar intra în stare de nerambursare, banca ar avea dreptul să primească sau ar fi obligată să plătească numai suma netă a valorilor pozitive şi negative marcate la piaţă ale tranzacţiilor individuale incluse;</w:t>
            </w:r>
            <w:bookmarkEnd w:id="35"/>
          </w:p>
          <w:p w14:paraId="388B7EB2" w14:textId="4B7B9199" w:rsidR="00236954" w:rsidRPr="006D77F3" w:rsidRDefault="00236954" w:rsidP="00236954">
            <w:pPr>
              <w:tabs>
                <w:tab w:val="left" w:pos="851"/>
                <w:tab w:val="left" w:pos="993"/>
                <w:tab w:val="left" w:pos="1134"/>
              </w:tabs>
              <w:ind w:hanging="12"/>
              <w:contextualSpacing/>
              <w:jc w:val="both"/>
              <w:rPr>
                <w:sz w:val="18"/>
                <w:szCs w:val="18"/>
                <w:lang w:val="ro-MD" w:eastAsia="en-US"/>
              </w:rPr>
            </w:pPr>
            <w:bookmarkStart w:id="36" w:name="_Ref169003374"/>
            <w:r w:rsidRPr="006D77F3">
              <w:rPr>
                <w:sz w:val="18"/>
                <w:szCs w:val="18"/>
                <w:lang w:val="ro-MD" w:eastAsia="en-US"/>
              </w:rPr>
              <w:t xml:space="preserve">109.2. banca dispune de opinii juridice scrise, fundamentate, în care se precizează că, în cazul contestării în instanţă a acordului de compensare, creanţele şi datoriile băncii nu ar depăşi cele menţionate la subpunctul </w:t>
            </w:r>
            <w:r w:rsidRPr="006D77F3">
              <w:rPr>
                <w:sz w:val="18"/>
                <w:szCs w:val="18"/>
                <w:lang w:val="ro-MD" w:eastAsia="en-US"/>
              </w:rPr>
              <w:fldChar w:fldCharType="begin"/>
            </w:r>
            <w:r w:rsidRPr="006D77F3">
              <w:rPr>
                <w:sz w:val="18"/>
                <w:szCs w:val="18"/>
                <w:lang w:val="ro-MD" w:eastAsia="en-US"/>
              </w:rPr>
              <w:instrText xml:space="preserve"> REF _Ref169001775 \r \h  \* MERGEFORMAT </w:instrText>
            </w:r>
            <w:r w:rsidRPr="006D77F3">
              <w:rPr>
                <w:sz w:val="18"/>
                <w:szCs w:val="18"/>
                <w:lang w:val="ro-MD" w:eastAsia="en-US"/>
              </w:rPr>
            </w:r>
            <w:r w:rsidRPr="006D77F3">
              <w:rPr>
                <w:sz w:val="18"/>
                <w:szCs w:val="18"/>
                <w:lang w:val="ro-MD" w:eastAsia="en-US"/>
              </w:rPr>
              <w:fldChar w:fldCharType="separate"/>
            </w:r>
            <w:r>
              <w:rPr>
                <w:sz w:val="18"/>
                <w:szCs w:val="18"/>
                <w:lang w:val="ro-MD" w:eastAsia="en-US"/>
              </w:rPr>
              <w:t>0</w:t>
            </w:r>
            <w:r w:rsidRPr="006D77F3">
              <w:rPr>
                <w:sz w:val="18"/>
                <w:szCs w:val="18"/>
                <w:lang w:val="ro-MD" w:eastAsia="en-US"/>
              </w:rPr>
              <w:fldChar w:fldCharType="end"/>
            </w:r>
            <w:r w:rsidRPr="006D77F3">
              <w:rPr>
                <w:sz w:val="18"/>
                <w:szCs w:val="18"/>
                <w:lang w:val="ro-MD" w:eastAsia="en-US"/>
              </w:rPr>
              <w:t>.</w:t>
            </w:r>
            <w:bookmarkStart w:id="37" w:name="_Ref168580831"/>
            <w:bookmarkEnd w:id="36"/>
            <w:r w:rsidRPr="006D77F3">
              <w:rPr>
                <w:sz w:val="18"/>
                <w:szCs w:val="18"/>
                <w:lang w:val="ro-MD" w:eastAsia="en-US"/>
              </w:rPr>
              <w:t xml:space="preserve"> Opinia juridică trebuie să se refere la legislaţia aplicabilă:</w:t>
            </w:r>
            <w:bookmarkEnd w:id="37"/>
          </w:p>
          <w:p w14:paraId="5A884C80" w14:textId="77777777" w:rsidR="00236954" w:rsidRPr="006D77F3" w:rsidRDefault="00236954" w:rsidP="00236954">
            <w:pPr>
              <w:tabs>
                <w:tab w:val="left" w:pos="709"/>
                <w:tab w:val="left" w:pos="1134"/>
              </w:tabs>
              <w:contextualSpacing/>
              <w:jc w:val="both"/>
              <w:rPr>
                <w:sz w:val="18"/>
                <w:szCs w:val="18"/>
                <w:lang w:val="ro-MD" w:eastAsia="en-US"/>
              </w:rPr>
            </w:pPr>
            <w:r w:rsidRPr="006D77F3">
              <w:rPr>
                <w:sz w:val="18"/>
                <w:szCs w:val="18"/>
                <w:lang w:val="ro-MD" w:eastAsia="en-US"/>
              </w:rPr>
              <w:t>109.2.1. în jurisdicţia în care este înregistrată contrapartea;</w:t>
            </w:r>
          </w:p>
          <w:p w14:paraId="39EBC289" w14:textId="77777777" w:rsidR="00236954" w:rsidRPr="006D77F3" w:rsidRDefault="00236954" w:rsidP="00236954">
            <w:pPr>
              <w:tabs>
                <w:tab w:val="left" w:pos="709"/>
                <w:tab w:val="left" w:pos="1134"/>
              </w:tabs>
              <w:jc w:val="both"/>
              <w:rPr>
                <w:sz w:val="18"/>
                <w:szCs w:val="18"/>
                <w:lang w:val="ro-MD" w:eastAsia="en-US"/>
              </w:rPr>
            </w:pPr>
            <w:r w:rsidRPr="006D77F3">
              <w:rPr>
                <w:sz w:val="18"/>
                <w:szCs w:val="18"/>
                <w:lang w:val="ro-MD" w:eastAsia="en-US"/>
              </w:rPr>
              <w:t>109.2.2. dacă este implicată o sucursală a unei contrapărţi, care este situată în altă ţară decât cea în care este înregistrată contrapartea, în jurisdicţia în care este situată sucursala;</w:t>
            </w:r>
          </w:p>
          <w:p w14:paraId="2492DB29" w14:textId="77777777" w:rsidR="00236954" w:rsidRPr="006D77F3" w:rsidRDefault="00236954" w:rsidP="00236954">
            <w:pPr>
              <w:tabs>
                <w:tab w:val="left" w:pos="709"/>
                <w:tab w:val="left" w:pos="1134"/>
              </w:tabs>
              <w:jc w:val="both"/>
              <w:rPr>
                <w:sz w:val="18"/>
                <w:szCs w:val="18"/>
                <w:lang w:val="ro-MD" w:eastAsia="en-US"/>
              </w:rPr>
            </w:pPr>
            <w:r w:rsidRPr="006D77F3">
              <w:rPr>
                <w:sz w:val="18"/>
                <w:szCs w:val="18"/>
                <w:lang w:val="ro-MD" w:eastAsia="en-US"/>
              </w:rPr>
              <w:lastRenderedPageBreak/>
              <w:t>109.2.3. în jurisdicţia a cărei legislaţie guvernează tranzacţiile individuale incluse în acordul de compensare;</w:t>
            </w:r>
          </w:p>
          <w:p w14:paraId="30EE821F" w14:textId="77777777" w:rsidR="00236954" w:rsidRPr="006D77F3" w:rsidRDefault="00236954" w:rsidP="00236954">
            <w:pPr>
              <w:tabs>
                <w:tab w:val="left" w:pos="709"/>
                <w:tab w:val="left" w:pos="1134"/>
              </w:tabs>
              <w:jc w:val="both"/>
              <w:rPr>
                <w:sz w:val="18"/>
                <w:szCs w:val="18"/>
                <w:lang w:val="ro-MD" w:eastAsia="en-US"/>
              </w:rPr>
            </w:pPr>
            <w:r w:rsidRPr="006D77F3">
              <w:rPr>
                <w:sz w:val="18"/>
                <w:szCs w:val="18"/>
                <w:lang w:val="ro-MD" w:eastAsia="en-US"/>
              </w:rPr>
              <w:t>109.2.4. în jurisdicţia a cărei legislaţie guvernează orice contract sau acord necesar efectuării compensării contractuale;</w:t>
            </w:r>
          </w:p>
          <w:p w14:paraId="4902AB04" w14:textId="77777777" w:rsidR="00236954" w:rsidRPr="006D77F3" w:rsidRDefault="00236954" w:rsidP="00236954">
            <w:pPr>
              <w:tabs>
                <w:tab w:val="left" w:pos="709"/>
                <w:tab w:val="left" w:pos="993"/>
              </w:tabs>
              <w:jc w:val="both"/>
              <w:rPr>
                <w:sz w:val="18"/>
                <w:szCs w:val="18"/>
                <w:lang w:val="ro-MD" w:eastAsia="en-US"/>
              </w:rPr>
            </w:pPr>
            <w:r w:rsidRPr="006D77F3">
              <w:rPr>
                <w:sz w:val="18"/>
                <w:szCs w:val="18"/>
                <w:lang w:val="ro-MD" w:eastAsia="en-US"/>
              </w:rPr>
              <w:t>109.3. riscul de credit faţă de fiecare contraparte este agregat pentru a obţine o singură expunere din punct de vedere juridic pentru toate tranzacţiile cu contrapartea respectivă. Această agregare trebuie să se ia în considerare pentru scopurile limitei de creditare şi ale capitalului intern;</w:t>
            </w:r>
          </w:p>
          <w:p w14:paraId="0667846F" w14:textId="77777777" w:rsidR="00236954" w:rsidRPr="006D77F3" w:rsidRDefault="00236954" w:rsidP="00236954">
            <w:pPr>
              <w:tabs>
                <w:tab w:val="left" w:pos="426"/>
                <w:tab w:val="left" w:pos="709"/>
              </w:tabs>
              <w:jc w:val="both"/>
              <w:rPr>
                <w:sz w:val="18"/>
                <w:szCs w:val="18"/>
                <w:lang w:val="ro-MD" w:eastAsia="en-US"/>
              </w:rPr>
            </w:pPr>
            <w:r w:rsidRPr="006D77F3">
              <w:rPr>
                <w:sz w:val="18"/>
                <w:szCs w:val="18"/>
                <w:lang w:val="ro-MD" w:eastAsia="en-US"/>
              </w:rPr>
              <w:t>109.4. contractul nu conţine nicio clauză care, în cazul intrării unei contrapărţi în stare de nerambursare, permite unei contrapărţi care nu se află în stare de nerambursare să efectueze numai plăţi limitate sau să nu efectueze nicio plată în favoarea contrapărţii aflate în stare de nerambursare, chiar dacă aceasta din urmă este un creditor net.</w:t>
            </w:r>
          </w:p>
          <w:p w14:paraId="4C5050D8" w14:textId="77777777" w:rsidR="00236954" w:rsidRPr="006D77F3" w:rsidRDefault="00236954" w:rsidP="00236954">
            <w:pPr>
              <w:spacing w:line="259" w:lineRule="auto"/>
              <w:jc w:val="both"/>
              <w:rPr>
                <w:sz w:val="18"/>
                <w:szCs w:val="18"/>
                <w:lang w:val="ro-MD" w:eastAsia="en-US"/>
              </w:rPr>
            </w:pPr>
            <w:r w:rsidRPr="006D77F3">
              <w:rPr>
                <w:b/>
                <w:bCs/>
                <w:sz w:val="18"/>
                <w:szCs w:val="18"/>
                <w:lang w:val="ro-MD" w:eastAsia="en-US"/>
              </w:rPr>
              <w:t>110.</w:t>
            </w:r>
            <w:r w:rsidRPr="006D77F3">
              <w:rPr>
                <w:sz w:val="18"/>
                <w:szCs w:val="18"/>
                <w:lang w:val="ro-MD" w:eastAsia="en-US"/>
              </w:rPr>
              <w:t xml:space="preserve"> Dacă Banca Naţională a Moldovei, în cazul procesului de supraveghere, nu primeşte dovezi (probe) satisfăcătoare potrivit cărora este convinsă că compensarea contractuală este valabilă şi executorie din punct de vedere juridic, în temeiul legislaţiei fiecăreia dintre jurisdicţiile menţionate la punctul 109 subpunctul 119.2., acordul de compensare contractuală nu este recunoscut ca diminuator de risc pentru niciuna dintre contrapărţi.</w:t>
            </w:r>
          </w:p>
          <w:p w14:paraId="403A42FD" w14:textId="77777777" w:rsidR="00236954" w:rsidRPr="006D77F3" w:rsidRDefault="00236954" w:rsidP="00236954">
            <w:pPr>
              <w:spacing w:line="259" w:lineRule="auto"/>
              <w:jc w:val="both"/>
              <w:rPr>
                <w:sz w:val="18"/>
                <w:szCs w:val="18"/>
                <w:lang w:val="ro-MD" w:eastAsia="en-US"/>
              </w:rPr>
            </w:pPr>
            <w:r w:rsidRPr="006D77F3">
              <w:rPr>
                <w:b/>
                <w:bCs/>
                <w:sz w:val="18"/>
                <w:szCs w:val="18"/>
                <w:lang w:val="ro-MD" w:eastAsia="en-US"/>
              </w:rPr>
              <w:t>111.</w:t>
            </w:r>
            <w:r w:rsidRPr="006D77F3">
              <w:rPr>
                <w:sz w:val="18"/>
                <w:szCs w:val="18"/>
                <w:lang w:val="ro-MD" w:eastAsia="en-US"/>
              </w:rPr>
              <w:t xml:space="preserve"> </w:t>
            </w:r>
            <w:r w:rsidRPr="006D77F3">
              <w:rPr>
                <w:color w:val="000000"/>
                <w:sz w:val="18"/>
                <w:szCs w:val="18"/>
                <w:lang w:val="en-US" w:eastAsia="ro-MD"/>
              </w:rPr>
              <w:t xml:space="preserve">Opiniile juridice menționate la </w:t>
            </w:r>
            <w:r w:rsidRPr="006D77F3">
              <w:rPr>
                <w:sz w:val="18"/>
                <w:szCs w:val="18"/>
                <w:lang w:val="ro-MD" w:eastAsia="en-US"/>
              </w:rPr>
              <w:t>punctul 109 subpunctul 109.2.</w:t>
            </w:r>
            <w:r w:rsidRPr="006D77F3">
              <w:rPr>
                <w:color w:val="000000"/>
                <w:sz w:val="18"/>
                <w:szCs w:val="18"/>
                <w:lang w:val="en-US" w:eastAsia="ro-MD"/>
              </w:rPr>
              <w:t xml:space="preserve"> pot fi redactate cu referire la tipurile de compensare contractuală. Acordurile de compensare contractuală între produse diferite trebuie să îndeplinească următoarele condiții suplimentare:</w:t>
            </w:r>
          </w:p>
          <w:p w14:paraId="1628B98E" w14:textId="77777777" w:rsidR="00236954" w:rsidRPr="006D77F3" w:rsidRDefault="00236954" w:rsidP="00236954">
            <w:pPr>
              <w:shd w:val="clear" w:color="auto" w:fill="FFFFFF"/>
              <w:contextualSpacing/>
              <w:jc w:val="both"/>
              <w:rPr>
                <w:color w:val="000000"/>
                <w:sz w:val="18"/>
                <w:szCs w:val="18"/>
                <w:lang w:val="en-US" w:eastAsia="ro-MD"/>
              </w:rPr>
            </w:pPr>
            <w:r w:rsidRPr="006D77F3">
              <w:rPr>
                <w:color w:val="000000"/>
                <w:sz w:val="18"/>
                <w:szCs w:val="18"/>
                <w:lang w:val="en-US" w:eastAsia="ro-MD"/>
              </w:rPr>
              <w:t>111.1. suma netă menționată la punctul 109 subpunctul 109.1. este suma netă a valorilor de închidere pozitive și negative ale oricărui acord-cadru bilateral individual inclus și a valorilor pozitive și negative marcate la piață ale tranzacțiilor individuale („cuantumul net pentru toate produsele”</w:t>
            </w:r>
            <w:proofErr w:type="gramStart"/>
            <w:r w:rsidRPr="006D77F3">
              <w:rPr>
                <w:color w:val="000000"/>
                <w:sz w:val="18"/>
                <w:szCs w:val="18"/>
                <w:lang w:val="en-US" w:eastAsia="ro-MD"/>
              </w:rPr>
              <w:t>);</w:t>
            </w:r>
            <w:proofErr w:type="gramEnd"/>
          </w:p>
          <w:p w14:paraId="336347AA" w14:textId="77777777" w:rsidR="00236954" w:rsidRPr="006D77F3" w:rsidRDefault="00236954" w:rsidP="00236954">
            <w:pPr>
              <w:shd w:val="clear" w:color="auto" w:fill="FFFFFF"/>
              <w:contextualSpacing/>
              <w:jc w:val="both"/>
              <w:rPr>
                <w:color w:val="000000"/>
                <w:sz w:val="18"/>
                <w:szCs w:val="18"/>
                <w:lang w:val="en-US" w:eastAsia="ro-MD"/>
              </w:rPr>
            </w:pPr>
            <w:r w:rsidRPr="006D77F3">
              <w:rPr>
                <w:color w:val="000000"/>
                <w:sz w:val="18"/>
                <w:szCs w:val="18"/>
                <w:lang w:val="en-US" w:eastAsia="ro-MD"/>
              </w:rPr>
              <w:lastRenderedPageBreak/>
              <w:t>111.2. opiniile juridice menționate la punctul 109 subpunctul 109.2. se referă la valabilitatea și la caracterul executoriu ale întregului acord de compensare contractuală între produse diferite în conformitate cu termenii săi și la impactul acordului de compensare asupra dispozițiilor relevante ale oricărui acord-cadru bilateral individual inclus.</w:t>
            </w:r>
          </w:p>
          <w:p w14:paraId="775D022B"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358E634C"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14DA1195"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3738C9A5"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4908B490"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24684AEB"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66284C39"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49987FDB"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643A5234"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7403A32F"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4CC93FD6" w14:textId="77777777" w:rsidR="00236954" w:rsidRDefault="00236954" w:rsidP="00236954">
            <w:pPr>
              <w:pStyle w:val="ListParagraph"/>
              <w:shd w:val="clear" w:color="auto" w:fill="FFFFFF"/>
              <w:tabs>
                <w:tab w:val="left" w:pos="428"/>
              </w:tabs>
              <w:ind w:left="0" w:firstLine="2"/>
              <w:jc w:val="both"/>
              <w:rPr>
                <w:color w:val="000000"/>
                <w:sz w:val="18"/>
                <w:szCs w:val="18"/>
                <w:lang w:val="en-US" w:eastAsia="ro-MD"/>
              </w:rPr>
            </w:pPr>
          </w:p>
          <w:p w14:paraId="1DCF4B60"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619DF7A0"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7F2EE9E7"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24B1937B"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2A8FB980"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4026F4A5"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62A022F0" w14:textId="77777777" w:rsidR="00236954" w:rsidRDefault="00236954" w:rsidP="00236954">
            <w:pPr>
              <w:autoSpaceDE w:val="0"/>
              <w:autoSpaceDN w:val="0"/>
              <w:adjustRightInd w:val="0"/>
              <w:spacing w:before="60" w:after="60"/>
              <w:rPr>
                <w:rFonts w:eastAsiaTheme="minorHAnsi"/>
                <w:b/>
                <w:bCs/>
                <w:i/>
                <w:iCs/>
                <w:color w:val="000000"/>
                <w:sz w:val="18"/>
                <w:szCs w:val="18"/>
                <w:lang w:val="ro-RO" w:eastAsia="en-US"/>
                <w14:ligatures w14:val="standardContextual"/>
              </w:rPr>
            </w:pPr>
          </w:p>
          <w:p w14:paraId="53CC466F" w14:textId="7924165E" w:rsidR="00236954" w:rsidRPr="00BD43CA" w:rsidRDefault="00236954" w:rsidP="00236954">
            <w:pPr>
              <w:autoSpaceDE w:val="0"/>
              <w:autoSpaceDN w:val="0"/>
              <w:adjustRightInd w:val="0"/>
              <w:spacing w:before="60" w:after="60"/>
              <w:rPr>
                <w:color w:val="000000"/>
                <w:sz w:val="18"/>
                <w:szCs w:val="18"/>
                <w:lang w:val="ro-MD" w:eastAsia="ro-MD"/>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5EB6E12C" w14:textId="50D624C1" w:rsidR="00236954" w:rsidRPr="00A96E09" w:rsidRDefault="00236954" w:rsidP="00236954">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14A7C6F9" w14:textId="424CCDE4" w:rsidR="00236954" w:rsidRPr="00A96E09" w:rsidRDefault="00236954" w:rsidP="00236954">
            <w:pPr>
              <w:rPr>
                <w:sz w:val="18"/>
                <w:szCs w:val="18"/>
                <w:lang w:val="ro-MD"/>
              </w:rPr>
            </w:pPr>
          </w:p>
        </w:tc>
      </w:tr>
      <w:tr w:rsidR="00236954" w:rsidRPr="00A96E09" w14:paraId="27243F32" w14:textId="77777777" w:rsidTr="00C14AF6">
        <w:trPr>
          <w:trHeight w:val="8183"/>
        </w:trPr>
        <w:tc>
          <w:tcPr>
            <w:tcW w:w="3866" w:type="dxa"/>
          </w:tcPr>
          <w:p w14:paraId="4C0A4FD3" w14:textId="77777777" w:rsidR="00236954" w:rsidRPr="00A96E09" w:rsidRDefault="00236954" w:rsidP="00236954">
            <w:pPr>
              <w:pStyle w:val="title-article-norm"/>
              <w:jc w:val="both"/>
              <w:rPr>
                <w:i w:val="0"/>
                <w:sz w:val="18"/>
                <w:szCs w:val="18"/>
              </w:rPr>
            </w:pPr>
            <w:r w:rsidRPr="00A96E09">
              <w:rPr>
                <w:sz w:val="18"/>
                <w:szCs w:val="18"/>
              </w:rPr>
              <w:lastRenderedPageBreak/>
              <w:t>Articolul 297</w:t>
            </w:r>
            <w:r w:rsidRPr="00A96E09">
              <w:rPr>
                <w:i w:val="0"/>
                <w:sz w:val="18"/>
                <w:szCs w:val="18"/>
              </w:rPr>
              <w:t xml:space="preserve"> </w:t>
            </w:r>
            <w:r w:rsidRPr="00A96E09">
              <w:rPr>
                <w:b/>
                <w:i w:val="0"/>
                <w:sz w:val="18"/>
                <w:szCs w:val="18"/>
              </w:rPr>
              <w:t>Obligațiile instituțiilor</w:t>
            </w:r>
            <w:r w:rsidRPr="00A96E09">
              <w:rPr>
                <w:i w:val="0"/>
                <w:sz w:val="18"/>
                <w:szCs w:val="18"/>
              </w:rPr>
              <w:t xml:space="preserve"> </w:t>
            </w:r>
          </w:p>
          <w:p w14:paraId="42A51ED4" w14:textId="77777777" w:rsidR="00236954" w:rsidRPr="00A96E09" w:rsidRDefault="00236954" w:rsidP="00236954">
            <w:pPr>
              <w:pStyle w:val="title-article-norm"/>
              <w:jc w:val="left"/>
              <w:rPr>
                <w:i w:val="0"/>
                <w:sz w:val="18"/>
                <w:szCs w:val="18"/>
                <w:lang w:val="ro-MD"/>
              </w:rPr>
            </w:pPr>
            <w:r w:rsidRPr="00A96E09">
              <w:rPr>
                <w:i w:val="0"/>
                <w:sz w:val="18"/>
                <w:szCs w:val="18"/>
              </w:rPr>
              <w:t xml:space="preserve">(1) O instituție </w:t>
            </w:r>
            <w:r w:rsidRPr="00A96E09">
              <w:rPr>
                <w:i w:val="0"/>
                <w:sz w:val="18"/>
                <w:szCs w:val="18"/>
                <w:lang w:val="ro-MD"/>
              </w:rPr>
              <w:t xml:space="preserve">stabilește și menține proceduri pentru </w:t>
            </w:r>
            <w:proofErr w:type="gramStart"/>
            <w:r w:rsidRPr="00A96E09">
              <w:rPr>
                <w:i w:val="0"/>
                <w:sz w:val="18"/>
                <w:szCs w:val="18"/>
                <w:lang w:val="ro-MD"/>
              </w:rPr>
              <w:t>a</w:t>
            </w:r>
            <w:proofErr w:type="gramEnd"/>
            <w:r w:rsidRPr="00A96E09">
              <w:rPr>
                <w:i w:val="0"/>
                <w:sz w:val="18"/>
                <w:szCs w:val="18"/>
                <w:lang w:val="ro-MD"/>
              </w:rPr>
              <w:t xml:space="preserve"> asigura reexaminarea, în lumina modificărilor legislațiilor</w:t>
            </w:r>
            <w:r w:rsidRPr="00A96E09">
              <w:rPr>
                <w:i w:val="0"/>
                <w:sz w:val="18"/>
                <w:szCs w:val="18"/>
              </w:rPr>
              <w:t xml:space="preserve"> </w:t>
            </w:r>
            <w:r w:rsidRPr="00A96E09">
              <w:rPr>
                <w:i w:val="0"/>
                <w:sz w:val="18"/>
                <w:szCs w:val="18"/>
                <w:lang w:val="ro-MD"/>
              </w:rPr>
              <w:t xml:space="preserve">jurisdicțiilor relevante menționate la articolul 296 alineatul (2) litera (b), a valabilității și a caracterului executoriu din punct de vedere juridic ale compensării contractuale. </w:t>
            </w:r>
          </w:p>
          <w:p w14:paraId="539C884D" w14:textId="77777777" w:rsidR="00236954" w:rsidRPr="00A96E09" w:rsidRDefault="00236954" w:rsidP="00236954">
            <w:pPr>
              <w:pStyle w:val="title-article-norm"/>
              <w:jc w:val="left"/>
              <w:rPr>
                <w:i w:val="0"/>
                <w:sz w:val="18"/>
                <w:szCs w:val="18"/>
                <w:lang w:val="ro-MD"/>
              </w:rPr>
            </w:pPr>
            <w:r w:rsidRPr="00A96E09">
              <w:rPr>
                <w:i w:val="0"/>
                <w:sz w:val="18"/>
                <w:szCs w:val="18"/>
                <w:lang w:val="ro-MD"/>
              </w:rPr>
              <w:t xml:space="preserve">(2) Instituția păstrează în dosarele sale toate documentele referitoare la compensarea contractuală necesare. </w:t>
            </w:r>
          </w:p>
          <w:p w14:paraId="1B8E9CA6" w14:textId="77777777" w:rsidR="00236954" w:rsidRPr="00A96E09" w:rsidRDefault="00236954" w:rsidP="00236954">
            <w:pPr>
              <w:pStyle w:val="title-article-norm"/>
              <w:jc w:val="left"/>
              <w:rPr>
                <w:i w:val="0"/>
                <w:sz w:val="18"/>
                <w:szCs w:val="18"/>
                <w:lang w:val="ro-MD"/>
              </w:rPr>
            </w:pPr>
            <w:r w:rsidRPr="00A96E09">
              <w:rPr>
                <w:i w:val="0"/>
                <w:sz w:val="18"/>
                <w:szCs w:val="18"/>
                <w:lang w:val="ro-MD"/>
              </w:rPr>
              <w:t xml:space="preserve">(3) Instituția ține seama de efectele compensării la măsurarea expunerii la riscul de credit agregat al fiecărei contrapărți și administrează riscul de credit al contrapărții pe baza efectelor acestei măsurări. </w:t>
            </w:r>
          </w:p>
          <w:p w14:paraId="491C561C" w14:textId="77777777" w:rsidR="00236954" w:rsidRPr="00A96E09" w:rsidRDefault="00236954" w:rsidP="00236954">
            <w:pPr>
              <w:pStyle w:val="title-article-norm"/>
              <w:jc w:val="left"/>
              <w:rPr>
                <w:i w:val="0"/>
                <w:sz w:val="18"/>
                <w:szCs w:val="18"/>
                <w:lang w:val="ro-MD"/>
              </w:rPr>
            </w:pPr>
            <w:r w:rsidRPr="00A96E09">
              <w:rPr>
                <w:i w:val="0"/>
                <w:sz w:val="18"/>
                <w:szCs w:val="18"/>
                <w:lang w:val="ro-MD"/>
              </w:rPr>
              <w:t xml:space="preserve">(4) În cazul acordurilor de compensare contractuală între produse diferite, menționate la articolul 295, instituția menține proceduri, în conformitate cu articolul 296 alineatul (2) litera (c) pentru a verifica dacă pentru orice tranzacție care urmează să fie inclusă într-un set de compensare a fost emisă opinia juridică prevăzută la articolul 296 alineatul (2) litera (b). </w:t>
            </w:r>
          </w:p>
          <w:p w14:paraId="6C25039B" w14:textId="5F2046CA" w:rsidR="00236954" w:rsidRPr="00A96E09" w:rsidRDefault="00236954" w:rsidP="00236954">
            <w:pPr>
              <w:pStyle w:val="title-article-norm"/>
              <w:jc w:val="left"/>
              <w:rPr>
                <w:i w:val="0"/>
                <w:sz w:val="18"/>
                <w:szCs w:val="18"/>
                <w:lang w:val="ro-MD"/>
              </w:rPr>
            </w:pPr>
            <w:r w:rsidRPr="00A96E09">
              <w:rPr>
                <w:i w:val="0"/>
                <w:sz w:val="18"/>
                <w:szCs w:val="18"/>
                <w:lang w:val="ro-MD"/>
              </w:rPr>
              <w:t>Instituția continuă să se conformeze, ținând seama de acordul de compensare contractuală între produse diferite, cerințelor de recunoaștere a compensării bilaterale și cerințelor prevăzute la capitolul 4 pentru recunoașterea diminuării riscului de credit, după caz, pentru fiecare acord-cadru bilateral individual inclus și pentru fiecare tranzacție inclusă.</w:t>
            </w:r>
          </w:p>
        </w:tc>
        <w:tc>
          <w:tcPr>
            <w:tcW w:w="4356" w:type="dxa"/>
          </w:tcPr>
          <w:p w14:paraId="0F9F0871" w14:textId="77777777" w:rsidR="00236954" w:rsidRPr="00A96E09" w:rsidRDefault="00236954" w:rsidP="00236954">
            <w:pPr>
              <w:contextualSpacing/>
              <w:jc w:val="center"/>
              <w:rPr>
                <w:sz w:val="18"/>
                <w:szCs w:val="18"/>
                <w:lang w:val="ro-MD" w:eastAsia="en-US"/>
              </w:rPr>
            </w:pPr>
            <w:r w:rsidRPr="00A96E09">
              <w:rPr>
                <w:bCs/>
                <w:i/>
                <w:iCs/>
                <w:sz w:val="18"/>
                <w:szCs w:val="18"/>
                <w:lang w:val="ro-MD" w:eastAsia="en-US"/>
              </w:rPr>
              <w:t>Secţiunea a 3-a</w:t>
            </w:r>
          </w:p>
          <w:p w14:paraId="631382E2" w14:textId="77777777" w:rsidR="00236954" w:rsidRPr="00A96E09" w:rsidRDefault="00236954" w:rsidP="00236954">
            <w:pPr>
              <w:contextualSpacing/>
              <w:jc w:val="center"/>
              <w:rPr>
                <w:b/>
                <w:bCs/>
                <w:sz w:val="18"/>
                <w:szCs w:val="18"/>
                <w:lang w:val="ro-MD" w:eastAsia="en-US"/>
              </w:rPr>
            </w:pPr>
            <w:r w:rsidRPr="00A96E09">
              <w:rPr>
                <w:b/>
                <w:bCs/>
                <w:sz w:val="18"/>
                <w:szCs w:val="18"/>
                <w:lang w:val="ro-MD" w:eastAsia="en-US"/>
              </w:rPr>
              <w:t>Obligaţiile băncilor și efectele recunoaşterii compensării ca diminuatoare de risc</w:t>
            </w:r>
          </w:p>
          <w:p w14:paraId="7E90FBE7" w14:textId="0EF8A9E9" w:rsidR="00236954" w:rsidRPr="00A96E09" w:rsidRDefault="00236954" w:rsidP="00236954">
            <w:pPr>
              <w:tabs>
                <w:tab w:val="left" w:pos="426"/>
              </w:tabs>
              <w:jc w:val="both"/>
              <w:rPr>
                <w:sz w:val="18"/>
                <w:szCs w:val="18"/>
                <w:lang w:val="ro-MD" w:eastAsia="en-US"/>
              </w:rPr>
            </w:pPr>
            <w:bookmarkStart w:id="38" w:name="_Ref168580914"/>
            <w:r w:rsidRPr="00A96E09">
              <w:rPr>
                <w:b/>
                <w:bCs/>
                <w:sz w:val="18"/>
                <w:szCs w:val="18"/>
                <w:lang w:val="ro-MD" w:eastAsia="en-US"/>
              </w:rPr>
              <w:t>112.</w:t>
            </w:r>
            <w:r w:rsidRPr="00A96E09">
              <w:rPr>
                <w:sz w:val="18"/>
                <w:szCs w:val="18"/>
                <w:lang w:val="ro-MD" w:eastAsia="en-US"/>
              </w:rPr>
              <w:t xml:space="preserve"> Banca stabileşte şi menţine proceduri pentru a asigura reexaminarea, în cazul modificărilor legislaţiilor jurisdicţiilor relevante menţionate la </w:t>
            </w:r>
            <w:r w:rsidRPr="00A96E09">
              <w:rPr>
                <w:color w:val="000000"/>
                <w:sz w:val="18"/>
                <w:szCs w:val="18"/>
                <w:lang w:val="en-US" w:eastAsia="ro-MD"/>
              </w:rPr>
              <w:t xml:space="preserve">punctul 109 subpunctul 109.2., </w:t>
            </w:r>
            <w:r w:rsidRPr="00A96E09">
              <w:rPr>
                <w:sz w:val="18"/>
                <w:szCs w:val="18"/>
                <w:lang w:val="ro-MD" w:eastAsia="en-US"/>
              </w:rPr>
              <w:t>a valabilităţii şi a caracterului executoriu din punct de vedere juridic ale compensării contractuale.</w:t>
            </w:r>
            <w:bookmarkEnd w:id="38"/>
          </w:p>
          <w:p w14:paraId="1B1CCB06" w14:textId="24659ABD" w:rsidR="00236954" w:rsidRPr="00A96E09" w:rsidRDefault="00236954" w:rsidP="00236954">
            <w:pPr>
              <w:tabs>
                <w:tab w:val="left" w:pos="426"/>
              </w:tabs>
              <w:jc w:val="both"/>
              <w:rPr>
                <w:sz w:val="18"/>
                <w:szCs w:val="18"/>
                <w:lang w:val="ro-MD" w:eastAsia="en-US"/>
              </w:rPr>
            </w:pPr>
            <w:bookmarkStart w:id="39" w:name="_Ref168580915"/>
            <w:r w:rsidRPr="00A96E09">
              <w:rPr>
                <w:b/>
                <w:bCs/>
                <w:sz w:val="18"/>
                <w:szCs w:val="18"/>
                <w:lang w:val="ro-MD" w:eastAsia="en-US"/>
              </w:rPr>
              <w:t>113.</w:t>
            </w:r>
            <w:r w:rsidRPr="00A96E09">
              <w:rPr>
                <w:sz w:val="18"/>
                <w:szCs w:val="18"/>
                <w:lang w:val="ro-MD" w:eastAsia="en-US"/>
              </w:rPr>
              <w:t xml:space="preserve"> Banca păstrează în dosarele sale toate documentele referitoare la compensarea contractuală.</w:t>
            </w:r>
            <w:bookmarkEnd w:id="39"/>
          </w:p>
          <w:p w14:paraId="3AA573A1" w14:textId="0D82FAD0" w:rsidR="00236954" w:rsidRPr="00A96E09" w:rsidRDefault="00236954" w:rsidP="00236954">
            <w:pPr>
              <w:tabs>
                <w:tab w:val="left" w:pos="426"/>
              </w:tabs>
              <w:jc w:val="both"/>
              <w:rPr>
                <w:sz w:val="18"/>
                <w:szCs w:val="18"/>
                <w:lang w:val="ro-MD" w:eastAsia="en-US"/>
              </w:rPr>
            </w:pPr>
            <w:bookmarkStart w:id="40" w:name="_Ref168580925"/>
            <w:r w:rsidRPr="00A96E09">
              <w:rPr>
                <w:b/>
                <w:bCs/>
                <w:sz w:val="18"/>
                <w:szCs w:val="18"/>
                <w:lang w:val="ro-MD" w:eastAsia="en-US"/>
              </w:rPr>
              <w:t>114.</w:t>
            </w:r>
            <w:r w:rsidRPr="00A96E09">
              <w:rPr>
                <w:sz w:val="18"/>
                <w:szCs w:val="18"/>
                <w:lang w:val="ro-MD" w:eastAsia="en-US"/>
              </w:rPr>
              <w:t xml:space="preserve"> Banca ţine seama de efectele compensării la măsurarea expunerii la riscul de credit agregat al fiecărei contrapărţi şi administrează riscul de credit al contrapărţii pe baza efectelor acestei măsurări.</w:t>
            </w:r>
            <w:bookmarkEnd w:id="40"/>
          </w:p>
          <w:p w14:paraId="7851C825" w14:textId="7940F487" w:rsidR="00236954" w:rsidRPr="00A96E09" w:rsidRDefault="00236954" w:rsidP="00236954">
            <w:pPr>
              <w:tabs>
                <w:tab w:val="left" w:pos="426"/>
              </w:tabs>
              <w:jc w:val="both"/>
              <w:rPr>
                <w:sz w:val="18"/>
                <w:szCs w:val="18"/>
                <w:lang w:val="en-US" w:eastAsia="en-US"/>
              </w:rPr>
            </w:pPr>
            <w:r w:rsidRPr="00A96E09">
              <w:rPr>
                <w:b/>
                <w:bCs/>
                <w:sz w:val="18"/>
                <w:szCs w:val="18"/>
                <w:lang w:val="ro-MD" w:eastAsia="en-US"/>
              </w:rPr>
              <w:t>115.</w:t>
            </w:r>
            <w:r w:rsidRPr="00A96E09">
              <w:rPr>
                <w:sz w:val="18"/>
                <w:szCs w:val="18"/>
                <w:lang w:val="ro-MD" w:eastAsia="en-US"/>
              </w:rPr>
              <w:t xml:space="preserve"> </w:t>
            </w:r>
            <w:r w:rsidRPr="00A96E09">
              <w:rPr>
                <w:sz w:val="18"/>
                <w:szCs w:val="18"/>
                <w:lang w:val="en-US" w:eastAsia="en-US"/>
              </w:rPr>
              <w:t xml:space="preserve">În cazul acordurilor de compensare contractuală între produse diferite, menţionate la punctul 106, banca menţine proceduri, în conformitate cu </w:t>
            </w:r>
            <w:bookmarkStart w:id="41" w:name="_Hlk205998707"/>
            <w:r w:rsidRPr="00A96E09">
              <w:rPr>
                <w:sz w:val="18"/>
                <w:szCs w:val="18"/>
                <w:lang w:val="en-US" w:eastAsia="en-US"/>
              </w:rPr>
              <w:t xml:space="preserve">punctul 109 subpunctul 109.3. </w:t>
            </w:r>
            <w:bookmarkEnd w:id="41"/>
            <w:r w:rsidRPr="00A96E09">
              <w:rPr>
                <w:sz w:val="18"/>
                <w:szCs w:val="18"/>
                <w:lang w:val="en-US" w:eastAsia="en-US"/>
              </w:rPr>
              <w:t xml:space="preserve">pentru a verifica dacă pentru orice tranzacţie care urmează să fie inclusă într-un set de compensare a fost emisă opinia juridică prevăzută la punctul 109 subpunctul 109.2. </w:t>
            </w:r>
          </w:p>
          <w:p w14:paraId="394E3A77" w14:textId="77777777" w:rsidR="00236954" w:rsidRDefault="00236954" w:rsidP="00236954">
            <w:pPr>
              <w:tabs>
                <w:tab w:val="left" w:pos="426"/>
              </w:tabs>
              <w:jc w:val="both"/>
              <w:rPr>
                <w:sz w:val="18"/>
                <w:szCs w:val="18"/>
                <w:lang w:val="en-US" w:eastAsia="en-US"/>
              </w:rPr>
            </w:pPr>
            <w:r w:rsidRPr="00A96E09">
              <w:rPr>
                <w:b/>
                <w:bCs/>
                <w:sz w:val="18"/>
                <w:szCs w:val="18"/>
                <w:lang w:val="en-US" w:eastAsia="en-US"/>
              </w:rPr>
              <w:t>116.</w:t>
            </w:r>
            <w:r w:rsidRPr="00A96E09">
              <w:rPr>
                <w:sz w:val="18"/>
                <w:szCs w:val="18"/>
                <w:lang w:val="en-US" w:eastAsia="en-US"/>
              </w:rPr>
              <w:t xml:space="preserve"> Banca continuă să se conformeze, ţinând seama de acordul de compensare contractuală între produse diferite, cerinţelor de recunoaștere a compensării bilaterale și cerinţelor pentru recunoașterea diminuării riscului de credit </w:t>
            </w:r>
            <w:proofErr w:type="gramStart"/>
            <w:r w:rsidRPr="00A96E09">
              <w:rPr>
                <w:sz w:val="18"/>
                <w:szCs w:val="18"/>
                <w:lang w:val="en-US" w:eastAsia="en-US"/>
              </w:rPr>
              <w:t>conform</w:t>
            </w:r>
            <w:proofErr w:type="gramEnd"/>
            <w:r w:rsidRPr="00A96E09">
              <w:rPr>
                <w:sz w:val="18"/>
                <w:szCs w:val="18"/>
                <w:lang w:val="en-US" w:eastAsia="en-US"/>
              </w:rPr>
              <w:t xml:space="preserve"> </w:t>
            </w:r>
            <w:r w:rsidRPr="00A96E09">
              <w:rPr>
                <w:sz w:val="18"/>
                <w:szCs w:val="18"/>
                <w:lang w:val="ro-MD" w:eastAsia="en-US"/>
              </w:rPr>
              <w:t>Regulamentului nr. 112/2018</w:t>
            </w:r>
            <w:r w:rsidRPr="00A96E09">
              <w:rPr>
                <w:sz w:val="18"/>
                <w:szCs w:val="18"/>
                <w:lang w:val="en-US" w:eastAsia="en-US"/>
              </w:rPr>
              <w:t>, după caz, pentru fiecare acord-cadru bilateral individual inclus și pentru fiecare tranzacţie inclusă.</w:t>
            </w:r>
          </w:p>
          <w:p w14:paraId="0838E38B" w14:textId="77777777" w:rsidR="00236954" w:rsidRDefault="00236954" w:rsidP="00236954">
            <w:pPr>
              <w:tabs>
                <w:tab w:val="left" w:pos="426"/>
              </w:tabs>
              <w:jc w:val="both"/>
              <w:rPr>
                <w:sz w:val="18"/>
                <w:szCs w:val="18"/>
                <w:lang w:val="en-US" w:eastAsia="en-US"/>
              </w:rPr>
            </w:pPr>
          </w:p>
          <w:p w14:paraId="41386D4D" w14:textId="77777777" w:rsidR="00236954" w:rsidRDefault="00236954" w:rsidP="00236954">
            <w:pPr>
              <w:tabs>
                <w:tab w:val="left" w:pos="426"/>
              </w:tabs>
              <w:jc w:val="both"/>
              <w:rPr>
                <w:sz w:val="18"/>
                <w:szCs w:val="18"/>
                <w:lang w:val="en-US" w:eastAsia="en-US"/>
              </w:rPr>
            </w:pPr>
          </w:p>
          <w:p w14:paraId="4424365A" w14:textId="77777777" w:rsidR="00236954" w:rsidRDefault="00236954" w:rsidP="00236954">
            <w:pPr>
              <w:tabs>
                <w:tab w:val="left" w:pos="426"/>
              </w:tabs>
              <w:jc w:val="both"/>
              <w:rPr>
                <w:sz w:val="18"/>
                <w:szCs w:val="18"/>
                <w:lang w:val="en-US" w:eastAsia="en-US"/>
              </w:rPr>
            </w:pPr>
          </w:p>
          <w:p w14:paraId="64836944" w14:textId="77777777" w:rsidR="00236954" w:rsidRDefault="00236954" w:rsidP="00236954">
            <w:pPr>
              <w:tabs>
                <w:tab w:val="left" w:pos="426"/>
              </w:tabs>
              <w:jc w:val="both"/>
              <w:rPr>
                <w:sz w:val="18"/>
                <w:szCs w:val="18"/>
                <w:lang w:val="en-US" w:eastAsia="en-US"/>
              </w:rPr>
            </w:pPr>
          </w:p>
          <w:p w14:paraId="2601E9E9" w14:textId="77777777" w:rsidR="00236954" w:rsidRDefault="00236954" w:rsidP="00236954">
            <w:pPr>
              <w:tabs>
                <w:tab w:val="left" w:pos="426"/>
              </w:tabs>
              <w:jc w:val="both"/>
              <w:rPr>
                <w:sz w:val="18"/>
                <w:szCs w:val="18"/>
                <w:lang w:val="en-US" w:eastAsia="en-US"/>
              </w:rPr>
            </w:pPr>
          </w:p>
          <w:p w14:paraId="2622B93E" w14:textId="77777777" w:rsidR="00236954" w:rsidRDefault="00236954" w:rsidP="00236954">
            <w:pPr>
              <w:tabs>
                <w:tab w:val="left" w:pos="426"/>
              </w:tabs>
              <w:jc w:val="both"/>
              <w:rPr>
                <w:sz w:val="18"/>
                <w:szCs w:val="18"/>
                <w:lang w:val="en-US" w:eastAsia="en-US"/>
              </w:rPr>
            </w:pPr>
          </w:p>
          <w:p w14:paraId="690BADBB" w14:textId="77777777" w:rsidR="00236954" w:rsidRDefault="00236954" w:rsidP="00236954">
            <w:pPr>
              <w:tabs>
                <w:tab w:val="left" w:pos="426"/>
              </w:tabs>
              <w:jc w:val="both"/>
              <w:rPr>
                <w:sz w:val="18"/>
                <w:szCs w:val="18"/>
                <w:lang w:val="en-US" w:eastAsia="en-US"/>
              </w:rPr>
            </w:pPr>
          </w:p>
          <w:p w14:paraId="3BBB53A5" w14:textId="77777777" w:rsidR="00236954" w:rsidRDefault="00236954" w:rsidP="00236954">
            <w:pPr>
              <w:tabs>
                <w:tab w:val="left" w:pos="426"/>
              </w:tabs>
              <w:jc w:val="both"/>
              <w:rPr>
                <w:sz w:val="18"/>
                <w:szCs w:val="18"/>
                <w:lang w:val="en-US" w:eastAsia="en-US"/>
              </w:rPr>
            </w:pPr>
          </w:p>
          <w:p w14:paraId="1D2951B9" w14:textId="5530E3A6" w:rsidR="00236954" w:rsidRPr="002305DE" w:rsidRDefault="00236954" w:rsidP="00236954">
            <w:pPr>
              <w:autoSpaceDE w:val="0"/>
              <w:autoSpaceDN w:val="0"/>
              <w:adjustRightInd w:val="0"/>
              <w:spacing w:before="60" w:after="60"/>
              <w:rPr>
                <w:rFonts w:eastAsiaTheme="minorHAnsi"/>
                <w:i/>
                <w:iCs/>
                <w:color w:val="000000"/>
                <w:sz w:val="18"/>
                <w:szCs w:val="18"/>
                <w:lang w:val="ro-MD" w:eastAsia="en-US"/>
                <w14:ligatures w14:val="standardContextual"/>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p w14:paraId="630853FB" w14:textId="00A2B275" w:rsidR="00236954" w:rsidRPr="00A96E09" w:rsidRDefault="00236954" w:rsidP="00236954">
            <w:pPr>
              <w:tabs>
                <w:tab w:val="left" w:pos="426"/>
              </w:tabs>
              <w:jc w:val="both"/>
              <w:rPr>
                <w:sz w:val="18"/>
                <w:szCs w:val="18"/>
                <w:lang w:val="ro-MD" w:eastAsia="en-US"/>
              </w:rPr>
            </w:pPr>
          </w:p>
        </w:tc>
        <w:tc>
          <w:tcPr>
            <w:tcW w:w="1554" w:type="dxa"/>
          </w:tcPr>
          <w:p w14:paraId="518ABBFE" w14:textId="0017BAD6" w:rsidR="00236954" w:rsidRPr="00A96E09" w:rsidRDefault="00236954" w:rsidP="00236954">
            <w:pPr>
              <w:jc w:val="both"/>
              <w:rPr>
                <w:sz w:val="18"/>
                <w:szCs w:val="18"/>
                <w:lang w:val="ro-MD"/>
              </w:rPr>
            </w:pPr>
            <w:r w:rsidRPr="00A96E09">
              <w:rPr>
                <w:sz w:val="18"/>
                <w:szCs w:val="18"/>
                <w:lang w:val="ro-MD"/>
              </w:rPr>
              <w:t>Compatibil</w:t>
            </w:r>
          </w:p>
        </w:tc>
        <w:tc>
          <w:tcPr>
            <w:tcW w:w="4683" w:type="dxa"/>
            <w:tcBorders>
              <w:top w:val="single" w:sz="4" w:space="0" w:color="auto"/>
            </w:tcBorders>
          </w:tcPr>
          <w:p w14:paraId="04D481DB" w14:textId="77777777" w:rsidR="00236954" w:rsidRPr="00A96E09" w:rsidRDefault="00236954" w:rsidP="00236954">
            <w:pPr>
              <w:jc w:val="both"/>
              <w:rPr>
                <w:sz w:val="18"/>
                <w:szCs w:val="18"/>
                <w:lang w:val="ro-MD"/>
              </w:rPr>
            </w:pPr>
          </w:p>
        </w:tc>
      </w:tr>
      <w:tr w:rsidR="00236954" w:rsidRPr="00A96E09" w14:paraId="515FD4BF" w14:textId="77777777" w:rsidTr="00C14AF6">
        <w:trPr>
          <w:trHeight w:val="918"/>
        </w:trPr>
        <w:tc>
          <w:tcPr>
            <w:tcW w:w="3866" w:type="dxa"/>
          </w:tcPr>
          <w:p w14:paraId="3066A26A" w14:textId="77777777" w:rsidR="00236954" w:rsidRPr="00A96E09" w:rsidRDefault="00236954" w:rsidP="00236954">
            <w:pPr>
              <w:pStyle w:val="title-article-norm"/>
              <w:jc w:val="both"/>
              <w:rPr>
                <w:sz w:val="18"/>
                <w:szCs w:val="18"/>
                <w:lang w:val="ro-MD"/>
              </w:rPr>
            </w:pPr>
            <w:r w:rsidRPr="00A96E09">
              <w:rPr>
                <w:sz w:val="18"/>
                <w:szCs w:val="18"/>
                <w:lang w:val="ro-MD"/>
              </w:rPr>
              <w:lastRenderedPageBreak/>
              <w:t xml:space="preserve">Articolul 298 </w:t>
            </w:r>
            <w:r w:rsidRPr="00A96E09">
              <w:rPr>
                <w:b/>
                <w:i w:val="0"/>
                <w:sz w:val="18"/>
                <w:szCs w:val="18"/>
                <w:lang w:val="ro-MD"/>
              </w:rPr>
              <w:t>Efectele recunoașterii compensării ca diminuatoare de risc</w:t>
            </w:r>
            <w:r w:rsidRPr="00A96E09">
              <w:rPr>
                <w:sz w:val="18"/>
                <w:szCs w:val="18"/>
                <w:lang w:val="ro-MD"/>
              </w:rPr>
              <w:t xml:space="preserve"> </w:t>
            </w:r>
          </w:p>
          <w:p w14:paraId="6C71839D" w14:textId="428E2ACA" w:rsidR="00236954" w:rsidRPr="00A96E09" w:rsidRDefault="00236954" w:rsidP="00236954">
            <w:pPr>
              <w:pStyle w:val="title-article-norm"/>
              <w:jc w:val="both"/>
              <w:rPr>
                <w:i w:val="0"/>
                <w:iCs w:val="0"/>
                <w:sz w:val="18"/>
                <w:szCs w:val="18"/>
                <w:lang w:val="ro-MD"/>
              </w:rPr>
            </w:pPr>
            <w:r w:rsidRPr="00A96E09">
              <w:rPr>
                <w:i w:val="0"/>
                <w:iCs w:val="0"/>
                <w:sz w:val="18"/>
                <w:szCs w:val="18"/>
                <w:lang w:val="ro-MD"/>
              </w:rPr>
              <w:t xml:space="preserve">Compensarea în sensul secţiunilor 3-6 este recunoscută astfel cum se indică în secţiunile respective. </w:t>
            </w:r>
          </w:p>
          <w:p w14:paraId="6BBC189E" w14:textId="77777777" w:rsidR="00236954" w:rsidRPr="00A96E09" w:rsidRDefault="00236954" w:rsidP="00236954">
            <w:pPr>
              <w:pStyle w:val="title-article-norm"/>
              <w:rPr>
                <w:i w:val="0"/>
                <w:sz w:val="18"/>
                <w:szCs w:val="18"/>
                <w:lang w:val="ro-MD"/>
              </w:rPr>
            </w:pPr>
          </w:p>
        </w:tc>
        <w:tc>
          <w:tcPr>
            <w:tcW w:w="4356" w:type="dxa"/>
          </w:tcPr>
          <w:p w14:paraId="10AF60A6" w14:textId="361D8FEB" w:rsidR="00236954" w:rsidRPr="00A96E09" w:rsidRDefault="00236954" w:rsidP="00236954">
            <w:pPr>
              <w:jc w:val="both"/>
              <w:rPr>
                <w:sz w:val="18"/>
                <w:szCs w:val="18"/>
                <w:lang w:val="ro-MD"/>
              </w:rPr>
            </w:pPr>
            <w:r w:rsidRPr="00A96E09">
              <w:rPr>
                <w:b/>
                <w:bCs/>
                <w:sz w:val="18"/>
                <w:szCs w:val="18"/>
                <w:lang w:val="ro-MD"/>
              </w:rPr>
              <w:t>117.</w:t>
            </w:r>
            <w:r w:rsidRPr="00A96E09">
              <w:rPr>
                <w:sz w:val="18"/>
                <w:szCs w:val="18"/>
                <w:lang w:val="ro-MD"/>
              </w:rPr>
              <w:t xml:space="preserve"> Compensarea în sensul captolelor III-IV este recunoscută astfel cum se indică în capitolele respective.  </w:t>
            </w:r>
          </w:p>
          <w:p w14:paraId="2C295C84" w14:textId="77777777" w:rsidR="00236954" w:rsidRDefault="00236954" w:rsidP="00236954">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2698FEB2" w14:textId="77777777" w:rsidR="00236954" w:rsidRDefault="00236954" w:rsidP="00236954">
            <w:pPr>
              <w:autoSpaceDE w:val="0"/>
              <w:autoSpaceDN w:val="0"/>
              <w:adjustRightInd w:val="0"/>
              <w:spacing w:before="60" w:after="60"/>
              <w:jc w:val="center"/>
              <w:rPr>
                <w:rFonts w:eastAsiaTheme="minorHAnsi"/>
                <w:i/>
                <w:iCs/>
                <w:color w:val="000000"/>
                <w:sz w:val="18"/>
                <w:szCs w:val="18"/>
                <w:lang w:val="ro-MD" w:eastAsia="en-US"/>
                <w14:ligatures w14:val="standardContextual"/>
              </w:rPr>
            </w:pPr>
          </w:p>
          <w:p w14:paraId="47994847" w14:textId="77777777" w:rsidR="00236954" w:rsidRDefault="00236954" w:rsidP="00236954">
            <w:pPr>
              <w:autoSpaceDE w:val="0"/>
              <w:autoSpaceDN w:val="0"/>
              <w:adjustRightInd w:val="0"/>
              <w:spacing w:before="60" w:after="60"/>
              <w:rPr>
                <w:rFonts w:eastAsiaTheme="minorHAnsi"/>
                <w:i/>
                <w:iCs/>
                <w:color w:val="000000"/>
                <w:sz w:val="18"/>
                <w:szCs w:val="18"/>
                <w:lang w:val="ro-MD" w:eastAsia="en-US"/>
                <w14:ligatures w14:val="standardContextual"/>
              </w:rPr>
            </w:pPr>
          </w:p>
          <w:p w14:paraId="2A094B3A" w14:textId="5E769885"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14:ligatures w14:val="standardContextual"/>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4197C437" w14:textId="331B8A1C" w:rsidR="00236954" w:rsidRPr="00A96E09" w:rsidRDefault="00236954" w:rsidP="00236954">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5B02AA20" w14:textId="77777777" w:rsidR="00236954" w:rsidRPr="00A96E09" w:rsidRDefault="00236954" w:rsidP="00236954">
            <w:pPr>
              <w:jc w:val="both"/>
              <w:rPr>
                <w:sz w:val="18"/>
                <w:szCs w:val="18"/>
                <w:lang w:val="ro-MD"/>
              </w:rPr>
            </w:pPr>
          </w:p>
        </w:tc>
      </w:tr>
      <w:tr w:rsidR="00236954" w:rsidRPr="007C0793" w14:paraId="19C3091B" w14:textId="77777777" w:rsidTr="00C14AF6">
        <w:trPr>
          <w:trHeight w:val="918"/>
        </w:trPr>
        <w:tc>
          <w:tcPr>
            <w:tcW w:w="3866" w:type="dxa"/>
          </w:tcPr>
          <w:p w14:paraId="0B598BAC" w14:textId="77777777" w:rsidR="00236954" w:rsidRPr="00A96E09" w:rsidRDefault="00236954" w:rsidP="00236954">
            <w:pPr>
              <w:pStyle w:val="title-article-norm"/>
              <w:rPr>
                <w:i w:val="0"/>
                <w:sz w:val="18"/>
                <w:szCs w:val="18"/>
                <w:lang w:val="ro-MD"/>
              </w:rPr>
            </w:pPr>
            <w:r w:rsidRPr="00A96E09">
              <w:rPr>
                <w:i w:val="0"/>
                <w:sz w:val="18"/>
                <w:szCs w:val="18"/>
                <w:lang w:val="ro-MD"/>
              </w:rPr>
              <w:t>Secțiunea 8</w:t>
            </w:r>
          </w:p>
          <w:p w14:paraId="054FF957" w14:textId="77777777" w:rsidR="00236954" w:rsidRPr="00A96E09" w:rsidRDefault="00236954" w:rsidP="00236954">
            <w:pPr>
              <w:pStyle w:val="title-article-norm"/>
              <w:rPr>
                <w:b/>
                <w:i w:val="0"/>
                <w:sz w:val="18"/>
                <w:szCs w:val="18"/>
                <w:lang w:val="ro-MD"/>
              </w:rPr>
            </w:pPr>
            <w:r w:rsidRPr="00A96E09">
              <w:rPr>
                <w:b/>
                <w:i w:val="0"/>
                <w:sz w:val="18"/>
                <w:szCs w:val="18"/>
                <w:lang w:val="ro-MD"/>
              </w:rPr>
              <w:t>Elemente ale portofoliului de tran</w:t>
            </w:r>
            <w:r w:rsidRPr="00A96E09">
              <w:rPr>
                <w:b/>
                <w:i w:val="0"/>
                <w:sz w:val="18"/>
                <w:szCs w:val="18"/>
                <w:lang w:val="ro-MD"/>
              </w:rPr>
              <w:softHyphen/>
              <w:t>zacționare</w:t>
            </w:r>
          </w:p>
          <w:p w14:paraId="681D2664" w14:textId="77777777" w:rsidR="00236954" w:rsidRPr="00A96E09" w:rsidRDefault="00236954" w:rsidP="00236954">
            <w:pPr>
              <w:pStyle w:val="title-article-norm"/>
              <w:jc w:val="both"/>
              <w:rPr>
                <w:i w:val="0"/>
                <w:sz w:val="18"/>
                <w:szCs w:val="18"/>
                <w:lang w:val="ro-MD"/>
              </w:rPr>
            </w:pPr>
            <w:r w:rsidRPr="00A96E09">
              <w:rPr>
                <w:sz w:val="18"/>
                <w:szCs w:val="18"/>
                <w:lang w:val="ro-MD"/>
              </w:rPr>
              <w:t>Articolul 299</w:t>
            </w:r>
            <w:r w:rsidRPr="00A96E09">
              <w:rPr>
                <w:i w:val="0"/>
                <w:sz w:val="18"/>
                <w:szCs w:val="18"/>
                <w:lang w:val="ro-MD"/>
              </w:rPr>
              <w:t xml:space="preserve"> </w:t>
            </w:r>
            <w:r w:rsidRPr="00A96E09">
              <w:rPr>
                <w:b/>
                <w:i w:val="0"/>
                <w:sz w:val="18"/>
                <w:szCs w:val="18"/>
                <w:lang w:val="ro-MD"/>
              </w:rPr>
              <w:t>Elemente ale portofoliului de tranzacționare</w:t>
            </w:r>
            <w:r w:rsidRPr="00A96E09">
              <w:rPr>
                <w:i w:val="0"/>
                <w:sz w:val="18"/>
                <w:szCs w:val="18"/>
                <w:lang w:val="ro-MD"/>
              </w:rPr>
              <w:t xml:space="preserve"> </w:t>
            </w:r>
          </w:p>
          <w:p w14:paraId="4156B57A"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(1) În scopul aplicării prezentului articol, anexa II va include o trimitere la instrumentele financiare derivate pentru transferul riscului de credit, menționate în secțiunea C punctul 8 din anexa I la Directiva 2004/39/CE. </w:t>
            </w:r>
          </w:p>
          <w:p w14:paraId="367CD96B" w14:textId="77777777" w:rsidR="00236954" w:rsidRPr="00A96E09" w:rsidRDefault="00236954" w:rsidP="00236954">
            <w:pPr>
              <w:pStyle w:val="title-article-norm"/>
              <w:jc w:val="both"/>
              <w:rPr>
                <w:i w:val="0"/>
                <w:sz w:val="18"/>
                <w:szCs w:val="18"/>
                <w:lang w:val="ro-MD"/>
              </w:rPr>
            </w:pPr>
            <w:r w:rsidRPr="00A96E09">
              <w:rPr>
                <w:i w:val="0"/>
                <w:sz w:val="18"/>
                <w:szCs w:val="18"/>
                <w:lang w:val="ro-MD"/>
              </w:rPr>
              <w:t>(2) La calculul valorilor ponderate la riscul de contraparte ale expunerilor elementelor din portofoliul de tranzacționare, instituțiile respectă următoarele principii:</w:t>
            </w:r>
          </w:p>
          <w:p w14:paraId="6EADBE60"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(b) instituțiile nu trebuie să utilizeze metoda simplă a garanțiilor financiare prevăzută la articolul 222 pentru recunoașterea efectelor garanției financiare; </w:t>
            </w:r>
          </w:p>
          <w:p w14:paraId="1A6D6748"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(c) în cazul tranzacțiilor de răscumpărare și al operațiunilor de dare sau luare de titluri sau mărfuri cu împrumut înregistrate în portofoliul de tranzacționare, instituțiile pot recunoaște drept garanții reale eligibile toate instrumentele </w:t>
            </w:r>
            <w:r w:rsidRPr="00A96E09">
              <w:rPr>
                <w:i w:val="0"/>
                <w:sz w:val="18"/>
                <w:szCs w:val="18"/>
                <w:lang w:val="ro-MD"/>
              </w:rPr>
              <w:lastRenderedPageBreak/>
              <w:t xml:space="preserve">financiare și toate mărfurile care sunt eligibile pentru includere în portofoliul de tranzacționare; </w:t>
            </w:r>
          </w:p>
          <w:p w14:paraId="721FF91D" w14:textId="77777777" w:rsidR="00236954" w:rsidRPr="00A96E09" w:rsidRDefault="00236954" w:rsidP="00236954">
            <w:pPr>
              <w:pStyle w:val="title-article-norm"/>
              <w:jc w:val="both"/>
              <w:rPr>
                <w:i w:val="0"/>
                <w:sz w:val="18"/>
                <w:szCs w:val="18"/>
                <w:lang w:val="ro-MD"/>
              </w:rPr>
            </w:pPr>
            <w:r w:rsidRPr="00A96E09">
              <w:rPr>
                <w:i w:val="0"/>
                <w:sz w:val="18"/>
                <w:szCs w:val="18"/>
                <w:lang w:val="ro-MD"/>
              </w:rPr>
              <w:t>(d) pentru expunerile care provin din instrumente financiare derivate extrabursiere înregistrate în portofoliul de tranzacționare, instituțiile pot recunoaște drept garanții reale eligibile mărfurile care sunt eligibile pentru includere în portofoliul de tranzacționare;</w:t>
            </w:r>
          </w:p>
          <w:p w14:paraId="4FA4C412"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(e) în vederea calculării ajustărilor de volatilitate în cazul în care aceste instrumente financiare sau mărfuri, care nu sunt eligibile în conformitate cu capitolul 4, sunt date cu împrumut, vândute sau furnizate, ori luate cu împrumut, achiziționate sau primite drept garanții reale sau în alt mod în cadrul unei astfel de tranzacții, iar instituția utilizează, în conformitate cu capitolul 4 secțiunea 3, abordarea bazată pe ajustări de volatilitate reglementate, aceasta tratează astfel de instrumente și mărfuri în același fel ca titlurile de capital neincluse într-un indice principal și cotate la o bursă recunoscută; </w:t>
            </w:r>
          </w:p>
          <w:p w14:paraId="7F02CE29" w14:textId="77777777" w:rsidR="00236954" w:rsidRPr="00A96E09" w:rsidRDefault="00236954" w:rsidP="00236954">
            <w:pPr>
              <w:pStyle w:val="title-article-norm"/>
              <w:jc w:val="both"/>
              <w:rPr>
                <w:i w:val="0"/>
                <w:sz w:val="18"/>
                <w:szCs w:val="18"/>
                <w:lang w:val="ro-MD"/>
              </w:rPr>
            </w:pPr>
            <w:bookmarkStart w:id="42" w:name="_Hlk214367538"/>
            <w:r w:rsidRPr="00A96E09">
              <w:rPr>
                <w:i w:val="0"/>
                <w:sz w:val="18"/>
                <w:szCs w:val="18"/>
                <w:lang w:val="ro-MD"/>
              </w:rPr>
              <w:t xml:space="preserve">(f) dacă o instituție utilizează abordarea bazată pe estimări proprii ale ajustărilor de volatilitate în conformitate cu capitolul 4 secțiunea 3 pentru instrumentele financiare sau mărfurile care nu sunt eligibile în conformitate cu capitolul 4, aceasta calculează ajustările de volatilitate pentru fiecare element individual. Dacă a obținut aprobarea să utilizeze abordarea bazată pe modele interne definită în capitolul 4, instituția poate aplica această abordare și pentru portofoliul de tranzacționare; </w:t>
            </w:r>
          </w:p>
          <w:bookmarkEnd w:id="42"/>
          <w:p w14:paraId="29AC031E"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(g) în ceea ce privește recunoașterea acordurilor-cadru de compensare care acoperă tranzacții de răscumpărare, operațiuni de dare sau luare de titluri sau mărfuri cu împrumut sau alte operațiuni </w:t>
            </w:r>
            <w:r w:rsidRPr="00A96E09">
              <w:rPr>
                <w:i w:val="0"/>
                <w:sz w:val="18"/>
                <w:szCs w:val="18"/>
                <w:lang w:val="ro-MD"/>
              </w:rPr>
              <w:lastRenderedPageBreak/>
              <w:t xml:space="preserve">ajustate la condițiile pieței de capital, instituțiile recunosc compensarea între poziții din portofoliul de tranzacționare și poziții din afara acestuia, numai dacă tranzacțiile compensate îndeplinesc următoarele condiții: </w:t>
            </w:r>
          </w:p>
          <w:p w14:paraId="47005211"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(i) toate tranzacțiile sunt marcate la piață zilnic; </w:t>
            </w:r>
          </w:p>
          <w:p w14:paraId="72592A8B"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(ii) orice elemente luate cu împrumut, achiziționate sau primite în cadrul tranzacțiilor pot fi recunoscute drept garanții financiare eligibile în conformitate cu capitolul 4, fără aplicarea literelor (c)-(f) din prezentul alineat; </w:t>
            </w:r>
          </w:p>
          <w:p w14:paraId="61C20490"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(h) dacă un instrument financiar derivat de credit inclus în portofoliul de tranzacționare face parte dintr-o acoperire internă a riscului, iar protecția creditului este recunoscută în temeiul prezentului regulament în conformitate cu articolul 204, instituțiile aplică una din următoarele abordări: </w:t>
            </w:r>
          </w:p>
          <w:p w14:paraId="6B360212" w14:textId="77777777" w:rsidR="00236954" w:rsidRPr="00A96E09" w:rsidRDefault="00236954" w:rsidP="00236954">
            <w:pPr>
              <w:pStyle w:val="title-article-norm"/>
              <w:jc w:val="both"/>
              <w:rPr>
                <w:i w:val="0"/>
                <w:sz w:val="18"/>
                <w:szCs w:val="18"/>
                <w:lang w:val="ro-MD"/>
              </w:rPr>
            </w:pPr>
            <w:r w:rsidRPr="00A96E09">
              <w:rPr>
                <w:i w:val="0"/>
                <w:sz w:val="18"/>
                <w:szCs w:val="18"/>
                <w:lang w:val="ro-MD"/>
              </w:rPr>
              <w:t xml:space="preserve">(i) tratează instrumentul financiar derivat de credit ca și când nu ar exista risc de contraparte decurgând din poziția pe instrumentul respectiv; </w:t>
            </w:r>
          </w:p>
          <w:p w14:paraId="35217DF2" w14:textId="11FA4CC0" w:rsidR="00236954" w:rsidRPr="00A96E09" w:rsidRDefault="00236954" w:rsidP="00236954">
            <w:pPr>
              <w:pStyle w:val="title-article-norm"/>
              <w:jc w:val="both"/>
              <w:rPr>
                <w:sz w:val="18"/>
                <w:szCs w:val="18"/>
                <w:lang w:val="ro-MD"/>
              </w:rPr>
            </w:pPr>
            <w:r w:rsidRPr="00A96E09">
              <w:rPr>
                <w:i w:val="0"/>
                <w:sz w:val="18"/>
                <w:szCs w:val="18"/>
                <w:lang w:val="ro-MD"/>
              </w:rPr>
              <w:t>(ii) includ în mod consecvent în calculul cerințelor de fonduri proprii pentru riscul de credit al contrapărții toate instrumentele financiare derivate de credit din portofoliul de tranzacționare care fac parte din acoperiri interne ale riscului sau sunt achiziționate ca protecție împotriva unei expuneri la riscul de credit al contrapărții, dacă protecția creditului este recunoscută ca eligibilă în conformitate cu capitolul 4.</w:t>
            </w:r>
          </w:p>
        </w:tc>
        <w:tc>
          <w:tcPr>
            <w:tcW w:w="4356" w:type="dxa"/>
          </w:tcPr>
          <w:p w14:paraId="2C433B80" w14:textId="77777777" w:rsidR="00236954" w:rsidRPr="00A96E09" w:rsidRDefault="00236954" w:rsidP="00236954">
            <w:pPr>
              <w:tabs>
                <w:tab w:val="left" w:pos="428"/>
              </w:tabs>
              <w:ind w:firstLine="2"/>
              <w:contextualSpacing/>
              <w:jc w:val="center"/>
              <w:rPr>
                <w:sz w:val="18"/>
                <w:szCs w:val="18"/>
                <w:lang w:val="ro-MD" w:eastAsia="en-US"/>
              </w:rPr>
            </w:pPr>
            <w:r w:rsidRPr="00A96E09">
              <w:rPr>
                <w:b/>
                <w:bCs/>
                <w:sz w:val="18"/>
                <w:szCs w:val="18"/>
                <w:lang w:val="ro-MD" w:eastAsia="en-US"/>
              </w:rPr>
              <w:lastRenderedPageBreak/>
              <w:t>Capitolul VII</w:t>
            </w:r>
          </w:p>
          <w:p w14:paraId="2A4E6AAE" w14:textId="77777777" w:rsidR="00236954" w:rsidRPr="00A96E09" w:rsidRDefault="00236954" w:rsidP="00236954">
            <w:pPr>
              <w:tabs>
                <w:tab w:val="left" w:pos="428"/>
              </w:tabs>
              <w:ind w:firstLine="2"/>
              <w:contextualSpacing/>
              <w:jc w:val="center"/>
              <w:rPr>
                <w:b/>
                <w:bCs/>
                <w:sz w:val="18"/>
                <w:szCs w:val="18"/>
                <w:lang w:val="ro-MD" w:eastAsia="en-US"/>
              </w:rPr>
            </w:pPr>
            <w:r w:rsidRPr="00A96E09">
              <w:rPr>
                <w:b/>
                <w:bCs/>
                <w:sz w:val="18"/>
                <w:szCs w:val="18"/>
                <w:lang w:val="ro-MD" w:eastAsia="en-US"/>
              </w:rPr>
              <w:t>ELEMENTE ALE PORTOFOLIULUI DE TRANZACŢIONARE</w:t>
            </w:r>
          </w:p>
          <w:p w14:paraId="1D5F4C23" w14:textId="77777777" w:rsidR="00236954" w:rsidRPr="00A96E09" w:rsidRDefault="00236954" w:rsidP="00236954">
            <w:pPr>
              <w:tabs>
                <w:tab w:val="left" w:pos="428"/>
              </w:tabs>
              <w:ind w:firstLine="2"/>
              <w:jc w:val="center"/>
              <w:rPr>
                <w:sz w:val="18"/>
                <w:szCs w:val="18"/>
                <w:lang w:val="ro-MD" w:eastAsia="en-US"/>
              </w:rPr>
            </w:pPr>
          </w:p>
          <w:p w14:paraId="6BF893A8" w14:textId="188B8A9D" w:rsidR="00236954" w:rsidRPr="00A96E09" w:rsidRDefault="00236954" w:rsidP="00236954">
            <w:pPr>
              <w:numPr>
                <w:ilvl w:val="0"/>
                <w:numId w:val="42"/>
              </w:numPr>
              <w:tabs>
                <w:tab w:val="left" w:pos="428"/>
                <w:tab w:val="left" w:pos="993"/>
              </w:tabs>
              <w:spacing w:after="160" w:line="259" w:lineRule="auto"/>
              <w:ind w:left="-12" w:firstLine="0"/>
              <w:contextualSpacing/>
              <w:jc w:val="both"/>
              <w:rPr>
                <w:sz w:val="18"/>
                <w:szCs w:val="18"/>
                <w:lang w:val="ro-MD" w:eastAsia="en-US"/>
              </w:rPr>
            </w:pPr>
            <w:bookmarkStart w:id="43" w:name="_Ref168581445"/>
            <w:r w:rsidRPr="00A96E09">
              <w:rPr>
                <w:sz w:val="18"/>
                <w:szCs w:val="18"/>
                <w:lang w:val="ro-MD" w:eastAsia="en-US"/>
              </w:rPr>
              <w:t>La calculul valorilor ponderate la riscul de contraparte ale expunerilor elementelor din portofoliul de tranzacţionare, băncile respectă regulile descrise la punctele 119-124.</w:t>
            </w:r>
            <w:bookmarkEnd w:id="43"/>
          </w:p>
          <w:p w14:paraId="3A459608" w14:textId="77777777" w:rsidR="00236954" w:rsidRPr="00A96E09" w:rsidRDefault="00236954" w:rsidP="00236954">
            <w:pPr>
              <w:numPr>
                <w:ilvl w:val="0"/>
                <w:numId w:val="42"/>
              </w:numPr>
              <w:tabs>
                <w:tab w:val="left" w:pos="428"/>
                <w:tab w:val="left" w:pos="993"/>
              </w:tabs>
              <w:spacing w:after="160" w:line="259" w:lineRule="auto"/>
              <w:ind w:left="0" w:firstLine="2"/>
              <w:contextualSpacing/>
              <w:jc w:val="both"/>
              <w:rPr>
                <w:sz w:val="18"/>
                <w:szCs w:val="18"/>
                <w:lang w:val="ro-MD" w:eastAsia="en-US"/>
              </w:rPr>
            </w:pPr>
            <w:bookmarkStart w:id="44" w:name="_Ref169003539"/>
            <w:r w:rsidRPr="00A96E09">
              <w:rPr>
                <w:sz w:val="18"/>
                <w:szCs w:val="18"/>
                <w:lang w:val="ro-MD" w:eastAsia="en-US"/>
              </w:rPr>
              <w:t>Pentru recunoaşterea efectelor garanţiei financiare băncile nu utilizează metoda simplă a garanţiilor financiare prevăzută la capitolul VIII secţiunea a 4-a din Regulamentul nr.112/2018.</w:t>
            </w:r>
            <w:bookmarkEnd w:id="44"/>
          </w:p>
          <w:p w14:paraId="1A999071" w14:textId="77777777" w:rsidR="00236954" w:rsidRPr="00A96E09" w:rsidRDefault="00236954" w:rsidP="00236954">
            <w:pPr>
              <w:numPr>
                <w:ilvl w:val="0"/>
                <w:numId w:val="42"/>
              </w:numPr>
              <w:tabs>
                <w:tab w:val="left" w:pos="428"/>
                <w:tab w:val="left" w:pos="993"/>
              </w:tabs>
              <w:spacing w:after="160" w:line="259" w:lineRule="auto"/>
              <w:ind w:left="0" w:firstLine="2"/>
              <w:contextualSpacing/>
              <w:jc w:val="both"/>
              <w:rPr>
                <w:sz w:val="18"/>
                <w:szCs w:val="18"/>
                <w:lang w:val="ro-MD" w:eastAsia="en-US"/>
              </w:rPr>
            </w:pPr>
            <w:bookmarkStart w:id="45" w:name="_Ref169005708"/>
            <w:r w:rsidRPr="00A96E09">
              <w:rPr>
                <w:sz w:val="18"/>
                <w:szCs w:val="18"/>
                <w:lang w:val="ro-MD" w:eastAsia="en-US"/>
              </w:rPr>
              <w:t>În cazul tranzacţiilor de răscumpărare şi al operaţiunilor de dare sau luare de titluri sau mărfuri cu împrumut înregistrate în portofoliul de tranzacţionare, băncile pot recunoaşte drept garanţii reale eligibile toate instrumentele financiare şi toate mărfurile care sunt eligibile pentru includere în portofoliul de tranzacţionare.</w:t>
            </w:r>
            <w:bookmarkEnd w:id="45"/>
          </w:p>
          <w:p w14:paraId="1047093C" w14:textId="77777777" w:rsidR="00236954" w:rsidRPr="00A96E09" w:rsidRDefault="00236954" w:rsidP="00236954">
            <w:pPr>
              <w:numPr>
                <w:ilvl w:val="0"/>
                <w:numId w:val="42"/>
              </w:numPr>
              <w:tabs>
                <w:tab w:val="left" w:pos="428"/>
                <w:tab w:val="left" w:pos="567"/>
                <w:tab w:val="left" w:pos="993"/>
              </w:tabs>
              <w:spacing w:after="160" w:line="259" w:lineRule="auto"/>
              <w:ind w:left="0" w:firstLine="2"/>
              <w:contextualSpacing/>
              <w:jc w:val="both"/>
              <w:rPr>
                <w:sz w:val="18"/>
                <w:szCs w:val="18"/>
                <w:lang w:val="ro-MD" w:eastAsia="en-US"/>
              </w:rPr>
            </w:pPr>
            <w:r w:rsidRPr="00A96E09">
              <w:rPr>
                <w:sz w:val="18"/>
                <w:szCs w:val="18"/>
                <w:lang w:val="ro-MD" w:eastAsia="en-US"/>
              </w:rPr>
              <w:t>Pentru expunerile care provin din instrumente financiare derivate extrabursiere înregistrate în portofoliul de tranzacţionare, băncile pot recunoaşte drept garanţii reale eligibile mărfurile care sunt eligibile pentru includere în portofoliul de tranzacţionare.</w:t>
            </w:r>
          </w:p>
          <w:p w14:paraId="1039EF88" w14:textId="77777777" w:rsidR="00236954" w:rsidRDefault="00236954" w:rsidP="00236954">
            <w:pPr>
              <w:numPr>
                <w:ilvl w:val="0"/>
                <w:numId w:val="42"/>
              </w:numPr>
              <w:tabs>
                <w:tab w:val="left" w:pos="428"/>
                <w:tab w:val="left" w:pos="567"/>
                <w:tab w:val="left" w:pos="993"/>
              </w:tabs>
              <w:spacing w:after="160" w:line="259" w:lineRule="auto"/>
              <w:ind w:left="0" w:firstLine="2"/>
              <w:contextualSpacing/>
              <w:jc w:val="both"/>
              <w:rPr>
                <w:sz w:val="18"/>
                <w:szCs w:val="18"/>
                <w:lang w:val="ro-MD" w:eastAsia="en-US"/>
              </w:rPr>
            </w:pPr>
            <w:bookmarkStart w:id="46" w:name="_Ref169005716"/>
            <w:r w:rsidRPr="00A96E09">
              <w:rPr>
                <w:sz w:val="18"/>
                <w:szCs w:val="18"/>
                <w:lang w:val="ro-MD" w:eastAsia="en-US"/>
              </w:rPr>
              <w:t xml:space="preserve">În vederea calculării ajustărilor de volatilitate, în cazul în care astfel de instrumente financiare sau mărfuri, care nu sunt eligibile în conformitate cu Regulamentul nr.112/2018, sunt date cu împrumut, vândute sau furnizate, ori luate cu împrumut, achiziţionate sau primite drept garanţii reale, sau în alt mod în cadrul unei astfel de </w:t>
            </w:r>
            <w:r w:rsidRPr="00A96E09">
              <w:rPr>
                <w:sz w:val="18"/>
                <w:szCs w:val="18"/>
                <w:lang w:val="ro-MD" w:eastAsia="en-US"/>
              </w:rPr>
              <w:lastRenderedPageBreak/>
              <w:t>tranzacţii, iar banca utilizează, în conformitate cu capitolul VIII din regulamentul nominalizat, abordarea bazată pe ajustări de volatilitate reglementate, astfel de instrumente şi mărfuri se tratează în acelaşi fel ca titlurile de capital neincluse într-un indice principal şi cotate la o bursă recunoscută.</w:t>
            </w:r>
            <w:bookmarkEnd w:id="46"/>
          </w:p>
          <w:p w14:paraId="2B5C0842" w14:textId="04B59A6E" w:rsidR="00236954" w:rsidRPr="007C0793" w:rsidRDefault="00236954" w:rsidP="00236954">
            <w:pPr>
              <w:tabs>
                <w:tab w:val="left" w:pos="428"/>
                <w:tab w:val="left" w:pos="567"/>
                <w:tab w:val="left" w:pos="993"/>
              </w:tabs>
              <w:spacing w:after="160" w:line="259" w:lineRule="auto"/>
              <w:ind w:left="2"/>
              <w:contextualSpacing/>
              <w:jc w:val="both"/>
              <w:rPr>
                <w:i/>
                <w:sz w:val="18"/>
                <w:szCs w:val="18"/>
                <w:lang w:val="en-US" w:eastAsia="en-US"/>
              </w:rPr>
            </w:pPr>
            <w:r w:rsidRPr="007C0793">
              <w:rPr>
                <w:b/>
                <w:bCs/>
                <w:i/>
                <w:sz w:val="18"/>
                <w:szCs w:val="18"/>
                <w:lang w:val="en-US" w:eastAsia="ro-MD"/>
              </w:rPr>
              <w:t>122</w:t>
            </w:r>
            <w:r w:rsidRPr="007C0793">
              <w:rPr>
                <w:b/>
                <w:bCs/>
                <w:i/>
                <w:sz w:val="18"/>
                <w:szCs w:val="18"/>
                <w:vertAlign w:val="superscript"/>
                <w:lang w:val="en-US" w:eastAsia="ro-MD"/>
              </w:rPr>
              <w:t>1</w:t>
            </w:r>
            <w:r w:rsidRPr="007C0793">
              <w:rPr>
                <w:b/>
                <w:bCs/>
                <w:i/>
                <w:sz w:val="18"/>
                <w:szCs w:val="18"/>
                <w:lang w:val="en-US" w:eastAsia="ro-MD"/>
              </w:rPr>
              <w:t>.</w:t>
            </w:r>
            <w:r w:rsidRPr="007C0793">
              <w:rPr>
                <w:i/>
                <w:sz w:val="18"/>
                <w:szCs w:val="18"/>
                <w:lang w:val="en-US" w:eastAsia="ro-MD"/>
              </w:rPr>
              <w:t xml:space="preserve"> Dacă banca utilizează abordarea bazată pe estimări proprii ale ajustărilor de volatilitate în conformitate </w:t>
            </w:r>
            <w:bookmarkStart w:id="47" w:name="_Hlk214548851"/>
            <w:r w:rsidRPr="007C0793">
              <w:rPr>
                <w:i/>
                <w:sz w:val="18"/>
                <w:szCs w:val="18"/>
                <w:lang w:val="en-US" w:eastAsia="ro-MD"/>
              </w:rPr>
              <w:t xml:space="preserve">cu prevederile titlului III din Regulamentul nr.112/2018 </w:t>
            </w:r>
            <w:bookmarkEnd w:id="47"/>
            <w:r w:rsidRPr="007C0793">
              <w:rPr>
                <w:i/>
                <w:sz w:val="18"/>
                <w:szCs w:val="18"/>
                <w:lang w:val="en-US" w:eastAsia="ro-MD"/>
              </w:rPr>
              <w:t xml:space="preserve">pentru instrumentele financiare sau mărfurile care nu sunt eligibile în conformitate cu prevederile </w:t>
            </w:r>
            <w:bookmarkStart w:id="48" w:name="_Hlk214546943"/>
            <w:r w:rsidRPr="007C0793">
              <w:rPr>
                <w:i/>
                <w:sz w:val="18"/>
                <w:szCs w:val="18"/>
                <w:lang w:val="en-US" w:eastAsia="ro-MD"/>
              </w:rPr>
              <w:t>Regulamentul nr.112/2018</w:t>
            </w:r>
            <w:bookmarkEnd w:id="48"/>
            <w:r w:rsidRPr="007C0793">
              <w:rPr>
                <w:i/>
                <w:sz w:val="18"/>
                <w:szCs w:val="18"/>
                <w:lang w:val="en-US" w:eastAsia="ro-MD"/>
              </w:rPr>
              <w:t xml:space="preserve">, aceasta calculează ajustările de volatilitate pentru fiecare element individual. Dacă </w:t>
            </w:r>
            <w:proofErr w:type="gramStart"/>
            <w:r w:rsidRPr="007C0793">
              <w:rPr>
                <w:i/>
                <w:sz w:val="18"/>
                <w:szCs w:val="18"/>
                <w:lang w:val="en-US" w:eastAsia="ro-MD"/>
              </w:rPr>
              <w:t>a</w:t>
            </w:r>
            <w:proofErr w:type="gramEnd"/>
            <w:r w:rsidRPr="007C0793">
              <w:rPr>
                <w:i/>
                <w:sz w:val="18"/>
                <w:szCs w:val="18"/>
                <w:lang w:val="en-US" w:eastAsia="ro-MD"/>
              </w:rPr>
              <w:t xml:space="preserve"> obținut aprobarea să utilizeze abordarea bazată pe modele interne definită în Regulamentul nr.112/2018, banca poate aplica această abordare și pentru portofoliul de tranzacționare.</w:t>
            </w:r>
          </w:p>
          <w:p w14:paraId="19A6F8BE" w14:textId="77777777" w:rsidR="00236954" w:rsidRPr="00A96E09" w:rsidRDefault="00236954" w:rsidP="00236954">
            <w:pPr>
              <w:numPr>
                <w:ilvl w:val="0"/>
                <w:numId w:val="42"/>
              </w:numPr>
              <w:tabs>
                <w:tab w:val="left" w:pos="428"/>
                <w:tab w:val="left" w:pos="567"/>
                <w:tab w:val="left" w:pos="993"/>
              </w:tabs>
              <w:spacing w:after="160" w:line="259" w:lineRule="auto"/>
              <w:ind w:left="0" w:firstLine="2"/>
              <w:contextualSpacing/>
              <w:jc w:val="both"/>
              <w:rPr>
                <w:sz w:val="18"/>
                <w:szCs w:val="18"/>
                <w:lang w:val="ro-MD" w:eastAsia="en-US"/>
              </w:rPr>
            </w:pPr>
            <w:r w:rsidRPr="00A96E09">
              <w:rPr>
                <w:sz w:val="18"/>
                <w:szCs w:val="18"/>
                <w:lang w:val="ro-MD" w:eastAsia="en-US"/>
              </w:rPr>
              <w:t>În ceea ce priveşte recunoaşterea contractelor de compensare care acoperă tranzacţii de răscumpărare, operaţiuni de dare sau luare de titluri sau mărfuri cu împrumut sau alte operaţiuni ajustate la condiţiile pieţei de capital, băncile recunosc compensarea între poziţii din portofoliul de tranzacţionare şi poziţii din afara portofoliului de tranzacţionare, numai dacă tranzacţiile compensate îndeplinesc următoarele condiţii:</w:t>
            </w:r>
          </w:p>
          <w:p w14:paraId="35A15DAD" w14:textId="1C3692A6" w:rsidR="00236954" w:rsidRPr="00A96E09" w:rsidRDefault="00236954" w:rsidP="00236954">
            <w:pPr>
              <w:tabs>
                <w:tab w:val="left" w:pos="711"/>
                <w:tab w:val="left" w:pos="853"/>
                <w:tab w:val="left" w:pos="1134"/>
              </w:tabs>
              <w:ind w:firstLine="2"/>
              <w:jc w:val="both"/>
              <w:rPr>
                <w:sz w:val="18"/>
                <w:szCs w:val="18"/>
                <w:lang w:val="ro-MD" w:eastAsia="en-US"/>
              </w:rPr>
            </w:pPr>
            <w:r w:rsidRPr="00A96E09">
              <w:rPr>
                <w:sz w:val="18"/>
                <w:szCs w:val="18"/>
                <w:lang w:val="ro-MD" w:eastAsia="en-US"/>
              </w:rPr>
              <w:t>123.1. toate tranzacţiile sunt marcate la piaţă zilnic;</w:t>
            </w:r>
          </w:p>
          <w:p w14:paraId="0A9388B9" w14:textId="50158BD3" w:rsidR="00236954" w:rsidRPr="00A96E09" w:rsidRDefault="00236954" w:rsidP="00236954">
            <w:pPr>
              <w:tabs>
                <w:tab w:val="left" w:pos="428"/>
                <w:tab w:val="left" w:pos="1985"/>
              </w:tabs>
              <w:ind w:firstLine="2"/>
              <w:jc w:val="both"/>
              <w:rPr>
                <w:sz w:val="18"/>
                <w:szCs w:val="18"/>
                <w:lang w:val="ro-MD" w:eastAsia="en-US"/>
              </w:rPr>
            </w:pPr>
            <w:r w:rsidRPr="00A96E09">
              <w:rPr>
                <w:sz w:val="18"/>
                <w:szCs w:val="18"/>
                <w:lang w:val="ro-MD" w:eastAsia="en-US"/>
              </w:rPr>
              <w:t>123.2. orice elemente luate cu împrumut, achiziţionate sau primite în cadrul tranzacţiilor pot fi recunoscute drept garanţii financiare eligibile în conformitate cu punctul 25 din Regulamentul nr.112/2018, fără aplicarea punctelor 120-122.</w:t>
            </w:r>
          </w:p>
          <w:p w14:paraId="58F0D0A3" w14:textId="17DF912E" w:rsidR="00236954" w:rsidRPr="00A96E09" w:rsidRDefault="00236954" w:rsidP="00236954">
            <w:pPr>
              <w:tabs>
                <w:tab w:val="left" w:pos="428"/>
                <w:tab w:val="left" w:pos="993"/>
                <w:tab w:val="left" w:pos="1843"/>
              </w:tabs>
              <w:spacing w:after="160" w:line="259" w:lineRule="auto"/>
              <w:contextualSpacing/>
              <w:jc w:val="both"/>
              <w:rPr>
                <w:sz w:val="18"/>
                <w:szCs w:val="18"/>
                <w:lang w:val="ro-MD" w:eastAsia="en-US"/>
              </w:rPr>
            </w:pPr>
            <w:bookmarkStart w:id="49" w:name="_Ref168490627"/>
            <w:r w:rsidRPr="00A96E09">
              <w:rPr>
                <w:b/>
                <w:bCs/>
                <w:sz w:val="18"/>
                <w:szCs w:val="18"/>
                <w:lang w:val="ro-MD" w:eastAsia="en-US"/>
              </w:rPr>
              <w:t xml:space="preserve">124. </w:t>
            </w:r>
            <w:r w:rsidRPr="00A96E09">
              <w:rPr>
                <w:sz w:val="18"/>
                <w:szCs w:val="18"/>
                <w:lang w:val="ro-MD" w:eastAsia="en-US"/>
              </w:rPr>
              <w:t>Dacă un instrument financiar derivat de credit inclus în portofoliul de tranzacţionare face parte dintr-o acoperire internă a riscului, iar protecţia creditului este recunoscută în temeiul capitolului V din Regulamentul nr.112/2018, băncile aplică una din următoarele abordări:</w:t>
            </w:r>
            <w:bookmarkEnd w:id="49"/>
          </w:p>
          <w:p w14:paraId="03F92907" w14:textId="161EED0A" w:rsidR="00236954" w:rsidRPr="00A96E09" w:rsidRDefault="00236954" w:rsidP="00236954">
            <w:pPr>
              <w:tabs>
                <w:tab w:val="left" w:pos="130"/>
                <w:tab w:val="left" w:pos="697"/>
                <w:tab w:val="left" w:pos="1134"/>
              </w:tabs>
              <w:spacing w:after="160" w:line="259" w:lineRule="auto"/>
              <w:ind w:left="-12"/>
              <w:contextualSpacing/>
              <w:jc w:val="both"/>
              <w:rPr>
                <w:sz w:val="18"/>
                <w:szCs w:val="18"/>
                <w:lang w:val="ro-MD" w:eastAsia="en-US"/>
              </w:rPr>
            </w:pPr>
            <w:r w:rsidRPr="00A96E09">
              <w:rPr>
                <w:sz w:val="18"/>
                <w:szCs w:val="18"/>
                <w:lang w:val="ro-MD" w:eastAsia="en-US"/>
              </w:rPr>
              <w:lastRenderedPageBreak/>
              <w:t>124.1. tratează instrumentul financiar derivat de credit ca şi când nu ar exista risc de contraparte decurgând din poziţia pe instrumentul respectiv;</w:t>
            </w:r>
            <w:bookmarkStart w:id="50" w:name="_Ref168490639"/>
          </w:p>
          <w:p w14:paraId="6AF5EE3B"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r w:rsidRPr="00A96E09">
              <w:rPr>
                <w:sz w:val="18"/>
                <w:szCs w:val="18"/>
                <w:lang w:val="ro-MD" w:eastAsia="en-US"/>
              </w:rPr>
              <w:t>124.2. includ în mod consecvent în calculul cerinţelor de fonduri proprii pentru riscul de credit al contrapărţii toate instrumentele financiare derivate de credit din portofoliul de tranzacţionare care fac parte din acoperiri interne ale riscului sau sunt achiziţionate ca protecţie împotriva unei expuneri la riscul de credit al contrapărţii, dacă protecţia creditului este recunoscută ca eligibilă în conformitate cu Regulamentul nr.112/2018.</w:t>
            </w:r>
            <w:bookmarkEnd w:id="50"/>
          </w:p>
          <w:p w14:paraId="4D229F84"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10607BB2"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2BD96DA2"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3C0A4139"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50429224"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3C7543AB"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328B22FE"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4FC96809"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7A9668C1"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12FC730A"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24AEAA64"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2C040205"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73F981E5"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000BD1C2"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5D3037D3"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6000A0C8"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0CEA9321"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0F7A9A3E" w14:textId="77777777" w:rsidR="00236954" w:rsidRDefault="00236954" w:rsidP="00236954">
            <w:pPr>
              <w:tabs>
                <w:tab w:val="left" w:pos="130"/>
                <w:tab w:val="left" w:pos="697"/>
                <w:tab w:val="left" w:pos="1134"/>
              </w:tabs>
              <w:spacing w:after="160" w:line="259" w:lineRule="auto"/>
              <w:ind w:left="-12"/>
              <w:contextualSpacing/>
              <w:jc w:val="both"/>
              <w:rPr>
                <w:sz w:val="18"/>
                <w:szCs w:val="18"/>
                <w:lang w:val="ro-MD" w:eastAsia="en-US"/>
              </w:rPr>
            </w:pPr>
          </w:p>
          <w:p w14:paraId="42E5224A" w14:textId="77777777" w:rsidR="00236954" w:rsidRDefault="00236954" w:rsidP="00236954">
            <w:pPr>
              <w:autoSpaceDE w:val="0"/>
              <w:autoSpaceDN w:val="0"/>
              <w:adjustRightInd w:val="0"/>
              <w:spacing w:before="60" w:after="60"/>
              <w:rPr>
                <w:sz w:val="18"/>
                <w:szCs w:val="18"/>
                <w:lang w:val="ro-MD" w:eastAsia="en-US"/>
              </w:rPr>
            </w:pPr>
          </w:p>
          <w:p w14:paraId="60E97658" w14:textId="0157FD59" w:rsidR="00236954" w:rsidRPr="0041468E" w:rsidRDefault="00236954" w:rsidP="00236954">
            <w:pPr>
              <w:autoSpaceDE w:val="0"/>
              <w:autoSpaceDN w:val="0"/>
              <w:adjustRightInd w:val="0"/>
              <w:spacing w:before="60" w:after="60"/>
              <w:rPr>
                <w:rFonts w:eastAsiaTheme="minorHAnsi"/>
                <w:i/>
                <w:iCs/>
                <w:color w:val="000000"/>
                <w:sz w:val="18"/>
                <w:szCs w:val="18"/>
                <w:lang w:val="ro-MD" w:eastAsia="en-US"/>
                <w14:ligatures w14:val="standardContextual"/>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 xml:space="preserve">Regulamentul nr.220/2025, </w:t>
            </w:r>
            <w:r w:rsidRPr="002305DE">
              <w:rPr>
                <w:rFonts w:eastAsiaTheme="minorHAnsi"/>
                <w:b/>
                <w:bCs/>
                <w:i/>
                <w:iCs/>
                <w:color w:val="000000"/>
                <w:sz w:val="18"/>
                <w:szCs w:val="18"/>
                <w:lang w:val="ro-RO" w:eastAsia="en-US"/>
                <w14:ligatures w14:val="standardContextual"/>
              </w:rPr>
              <w:t>cu excepția pct.</w:t>
            </w:r>
            <w:r w:rsidRPr="007C0793">
              <w:rPr>
                <w:rFonts w:eastAsiaTheme="minorHAnsi"/>
                <w:b/>
                <w:bCs/>
                <w:i/>
                <w:iCs/>
                <w:color w:val="000000"/>
                <w:sz w:val="18"/>
                <w:szCs w:val="18"/>
                <w:lang w:val="en-US" w:eastAsia="en-US"/>
                <w14:ligatures w14:val="standardContextual"/>
              </w:rPr>
              <w:t>122</w:t>
            </w:r>
            <w:r w:rsidRPr="007C0793">
              <w:rPr>
                <w:rFonts w:eastAsiaTheme="minorHAnsi"/>
                <w:b/>
                <w:bCs/>
                <w:i/>
                <w:iCs/>
                <w:color w:val="000000"/>
                <w:sz w:val="18"/>
                <w:szCs w:val="18"/>
                <w:vertAlign w:val="superscript"/>
                <w:lang w:val="en-US" w:eastAsia="en-US"/>
                <w14:ligatures w14:val="standardContextual"/>
              </w:rPr>
              <w:t xml:space="preserve">1 </w:t>
            </w:r>
            <w:r w:rsidRPr="002305DE">
              <w:rPr>
                <w:rFonts w:eastAsiaTheme="minorHAnsi"/>
                <w:b/>
                <w:bCs/>
                <w:i/>
                <w:iCs/>
                <w:color w:val="000000"/>
                <w:sz w:val="18"/>
                <w:szCs w:val="18"/>
                <w:lang w:val="ro-RO" w:eastAsia="en-US"/>
                <w14:ligatures w14:val="standardContextual"/>
              </w:rPr>
              <w:t xml:space="preserve"> - prevedere nouă - </w:t>
            </w:r>
            <w:r w:rsidRPr="002305DE">
              <w:rPr>
                <w:rFonts w:eastAsiaTheme="minorHAnsi"/>
                <w:i/>
                <w:iCs/>
                <w:color w:val="000000"/>
                <w:sz w:val="18"/>
                <w:szCs w:val="18"/>
                <w:lang w:val="ro-MD" w:eastAsia="en-US"/>
                <w14:ligatures w14:val="standardContextual"/>
              </w:rPr>
              <w:t xml:space="preserve">Inclusă prin </w:t>
            </w:r>
            <w:r w:rsidRPr="002305DE">
              <w:rPr>
                <w:rFonts w:eastAsiaTheme="minorHAnsi"/>
                <w:b/>
                <w:bCs/>
                <w:i/>
                <w:iCs/>
                <w:color w:val="000000"/>
                <w:sz w:val="18"/>
                <w:szCs w:val="18"/>
                <w:lang w:val="ro-RO" w:eastAsia="en-US"/>
                <w14:ligatures w14:val="standardContextual"/>
              </w:rPr>
              <w:t>Proiectul HCE al BNM de modificare a Regulamentului nr.220/2025</w:t>
            </w:r>
          </w:p>
        </w:tc>
        <w:tc>
          <w:tcPr>
            <w:tcW w:w="1554" w:type="dxa"/>
          </w:tcPr>
          <w:p w14:paraId="776DE81B" w14:textId="35589A68" w:rsidR="00236954" w:rsidRPr="00A96E09" w:rsidRDefault="00236954" w:rsidP="00236954">
            <w:pPr>
              <w:jc w:val="both"/>
              <w:rPr>
                <w:sz w:val="18"/>
                <w:szCs w:val="18"/>
                <w:lang w:val="ro-MD"/>
              </w:rPr>
            </w:pPr>
            <w:r>
              <w:rPr>
                <w:sz w:val="18"/>
                <w:szCs w:val="18"/>
                <w:lang w:val="ro-MD"/>
              </w:rPr>
              <w:lastRenderedPageBreak/>
              <w:t>C</w:t>
            </w:r>
            <w:r w:rsidRPr="00A96E09">
              <w:rPr>
                <w:sz w:val="18"/>
                <w:szCs w:val="18"/>
                <w:lang w:val="ro-MD"/>
              </w:rPr>
              <w:t>ompatibil</w:t>
            </w:r>
          </w:p>
        </w:tc>
        <w:tc>
          <w:tcPr>
            <w:tcW w:w="4683" w:type="dxa"/>
            <w:tcBorders>
              <w:top w:val="single" w:sz="4" w:space="0" w:color="auto"/>
              <w:bottom w:val="single" w:sz="4" w:space="0" w:color="auto"/>
            </w:tcBorders>
          </w:tcPr>
          <w:p w14:paraId="76CE091C" w14:textId="37A91E03" w:rsidR="00236954" w:rsidRPr="00A96E09" w:rsidRDefault="00236954" w:rsidP="00236954">
            <w:pPr>
              <w:jc w:val="both"/>
              <w:rPr>
                <w:sz w:val="18"/>
                <w:szCs w:val="18"/>
                <w:lang w:val="ro-MD"/>
              </w:rPr>
            </w:pPr>
          </w:p>
        </w:tc>
      </w:tr>
      <w:tr w:rsidR="00236954" w:rsidRPr="00EB7E01" w14:paraId="01C53E4A" w14:textId="77777777" w:rsidTr="00C14AF6">
        <w:trPr>
          <w:trHeight w:val="918"/>
        </w:trPr>
        <w:tc>
          <w:tcPr>
            <w:tcW w:w="3866" w:type="dxa"/>
          </w:tcPr>
          <w:p w14:paraId="5D38A7A3" w14:textId="6AC2C8FF" w:rsidR="00236954" w:rsidRPr="00A96E09" w:rsidRDefault="00236954" w:rsidP="00236954">
            <w:pPr>
              <w:autoSpaceDE w:val="0"/>
              <w:autoSpaceDN w:val="0"/>
              <w:adjustRightInd w:val="0"/>
              <w:spacing w:before="60" w:after="60"/>
              <w:jc w:val="center"/>
              <w:rPr>
                <w:rFonts w:eastAsiaTheme="minorHAnsi"/>
                <w:color w:val="000000"/>
                <w:sz w:val="18"/>
                <w:szCs w:val="18"/>
                <w:lang w:val="ro-MD" w:eastAsia="en-US"/>
              </w:rPr>
            </w:pPr>
            <w:r w:rsidRPr="00A96E09">
              <w:rPr>
                <w:rFonts w:eastAsiaTheme="minorHAnsi"/>
                <w:color w:val="000000"/>
                <w:sz w:val="18"/>
                <w:szCs w:val="18"/>
                <w:lang w:val="ro-MD" w:eastAsia="en-US"/>
              </w:rPr>
              <w:lastRenderedPageBreak/>
              <w:t>Secțiunea 9</w:t>
            </w:r>
          </w:p>
          <w:p w14:paraId="61840190" w14:textId="77777777" w:rsidR="00236954" w:rsidRPr="00A96E09" w:rsidRDefault="00236954" w:rsidP="00236954">
            <w:pPr>
              <w:autoSpaceDE w:val="0"/>
              <w:autoSpaceDN w:val="0"/>
              <w:adjustRightInd w:val="0"/>
              <w:spacing w:before="60" w:after="60"/>
              <w:jc w:val="center"/>
              <w:rPr>
                <w:rFonts w:eastAsiaTheme="minorHAnsi"/>
                <w:color w:val="000000"/>
                <w:sz w:val="18"/>
                <w:szCs w:val="18"/>
                <w:lang w:val="ro-MD" w:eastAsia="en-US"/>
              </w:rPr>
            </w:pPr>
            <w:r w:rsidRPr="00A96E09">
              <w:rPr>
                <w:rFonts w:eastAsiaTheme="minorHAnsi"/>
                <w:b/>
                <w:bCs/>
                <w:color w:val="000000"/>
                <w:sz w:val="18"/>
                <w:szCs w:val="18"/>
                <w:lang w:val="ro-MD" w:eastAsia="en-US"/>
              </w:rPr>
              <w:t>Cerinţele de fonduri proprii pentru  expunerile faţă de o CPC</w:t>
            </w:r>
          </w:p>
          <w:p w14:paraId="203CD9FD"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300 </w:t>
            </w:r>
          </w:p>
          <w:p w14:paraId="59838F3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b/>
                <w:bCs/>
                <w:color w:val="000000"/>
                <w:sz w:val="18"/>
                <w:szCs w:val="18"/>
                <w:lang w:val="ro-MD" w:eastAsia="en-US"/>
              </w:rPr>
              <w:t xml:space="preserve">Definiţii </w:t>
            </w:r>
          </w:p>
          <w:p w14:paraId="271ABFD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În sensul prezentei secţiuni și al părţii a șaptea, se aplică următoarele definiţii: </w:t>
            </w:r>
          </w:p>
          <w:p w14:paraId="483EB38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„indisponibil în caz de faliment”, cu privire la activele clienţilor, înseamnă existenţa unor dispoziţii eficace conform cărora activele respective fie nu vor fi disponibile creditorilor unei CPC sau unui membru compensator, în cazul insolvenţei CPC în cauză sau, respectiv, a membrului compensator în cauză, fie nu vor fi disponibile membrului compensator pentru a acoperi pierderile înregistrate ca urmare a nerambursării de către un client sau mai mulţi clienţi, alţii decât cei care au pus la dispoziţie activele respective; </w:t>
            </w:r>
          </w:p>
          <w:p w14:paraId="28796D9A"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(2) „tranzacţie legată de o CPC” înseamnă un contract sau o tranzacţie, enumerate la articolul 301 alineatul (1), între un client și un membru compensator care sunt direct legate de un contract sau de o tranzacţie enumerate la alineatul respectiv între membrul compensator respectiv și o CPC; </w:t>
            </w:r>
          </w:p>
          <w:p w14:paraId="556E6B9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(3) „membru compensator” înseamnă membru compensator astfel cum este definit la articolul 2 punctul 14 din Regulamentul (UE) nr. 648/2012; </w:t>
            </w:r>
          </w:p>
          <w:p w14:paraId="08222DA4"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(4) „client” înseamnă client astfel cum este definit la articolul 2 punctul 15 din Regulamentul (UE) nr. 648/2012 sau o întreprindere care a stabilit acorduri de compensare indirectă cu un membru compensator, în conformitate cu articolul 4 alineatul (3) din regulamentul menţionat; </w:t>
            </w:r>
          </w:p>
          <w:p w14:paraId="223D9F6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(5) „tranzacţie în numerar” înseamnă tranzacţie cu numerar, titluri de datorie sau titluri de capital, o tranzacţie de schimb valutar la vedere sau o tranzacţie cu mărfuri la vedere; cu toate acestea, tranzacţiile de răscumpărare, tranzacţiile de dare cu împrumut de titluri de valoare sau de mărfuri și </w:t>
            </w:r>
            <w:r w:rsidRPr="00A96E09">
              <w:rPr>
                <w:rFonts w:eastAsiaTheme="minorHAnsi"/>
                <w:color w:val="000000"/>
                <w:sz w:val="18"/>
                <w:szCs w:val="18"/>
                <w:lang w:val="ro-MD" w:eastAsia="en-US"/>
              </w:rPr>
              <w:lastRenderedPageBreak/>
              <w:t xml:space="preserve">tranzacţiile de luare cu împrumut de titluri de valoare sau de mărfuri nu sunt tranzacţii în numerar; </w:t>
            </w:r>
          </w:p>
          <w:p w14:paraId="31182BEC"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(6) „mecanism indirect de compensare” înseamnă un mecanism care îndeplinește condiţiile prevăzute la articolul 4 alineatul (3) al doilea paragraf din Regulamentul (UE) nr. 648/2012; </w:t>
            </w:r>
          </w:p>
          <w:p w14:paraId="0759D4D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(7) „client de nivel superior” înseamnă o entitate care furnizează servicii de compensare unui client de nivel inferior; </w:t>
            </w:r>
          </w:p>
          <w:p w14:paraId="1C477A0D"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(8) „client de nivel inferior” înseamnă o entitate care accesează serviciile unei CPC prin intermediul unui client de nivel superior; </w:t>
            </w:r>
          </w:p>
          <w:p w14:paraId="7D2209CE"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(9) „structură a clientelei pe mai multe niveluri” înseamnă un mecanism indirect de compensare în temeiul căruia unei instituţii îi sunt furnizate servicii de compensare de către o entitate care nu este un membru compensator, ci este la rândul său client al unui membru compensator sau al unui client de nivel superior; </w:t>
            </w:r>
          </w:p>
          <w:p w14:paraId="1DDF0FCF"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(10) „contribuţie nefinanţată la un fond de garantare” înseamnă o contribuţie pe care o instituţie care acţionează ca membru compensator s-a angajat contractual să o furnizeze unei CPC după ce aceasta din urmă și-a epuizat fondul de garantare pentru a acoperi pierderile suportate ca urmare a intrării în stare de nerambursare a unuia sau a mai multora dintre membrii săi compensatori; </w:t>
            </w:r>
          </w:p>
          <w:p w14:paraId="64EE9AF8" w14:textId="116E484D" w:rsidR="00236954" w:rsidRPr="00A96E09" w:rsidRDefault="00236954" w:rsidP="00236954">
            <w:pPr>
              <w:pStyle w:val="title-article-norm"/>
              <w:jc w:val="left"/>
              <w:rPr>
                <w:i w:val="0"/>
                <w:sz w:val="18"/>
                <w:szCs w:val="18"/>
                <w:lang w:val="ro-MD"/>
              </w:rPr>
            </w:pPr>
            <w:r w:rsidRPr="00A96E09">
              <w:rPr>
                <w:rFonts w:eastAsiaTheme="minorHAnsi"/>
                <w:i w:val="0"/>
                <w:iCs w:val="0"/>
                <w:color w:val="000000"/>
                <w:sz w:val="18"/>
                <w:szCs w:val="18"/>
                <w:lang w:val="ro-MD"/>
              </w:rPr>
              <w:t>(11) „tranzacţie de dare sau luare cu împrumut de depozite garantată integral” înseamnă o tranzacţie de piaţă monetară acoperită integral cu garanţii reale în cadrul căreia două contrapărţi fac schimb de depozite și o CPC se interpune între acestea pentru a asigura executarea obligaţiilor de plată ale contrapărţilor respective.</w:t>
            </w:r>
          </w:p>
        </w:tc>
        <w:tc>
          <w:tcPr>
            <w:tcW w:w="4356" w:type="dxa"/>
          </w:tcPr>
          <w:p w14:paraId="1A0171F4" w14:textId="06CD1C01" w:rsidR="00236954" w:rsidRPr="00A96E09" w:rsidRDefault="00236954" w:rsidP="00236954">
            <w:pPr>
              <w:jc w:val="center"/>
              <w:rPr>
                <w:b/>
                <w:sz w:val="18"/>
                <w:szCs w:val="18"/>
                <w:lang w:val="ro-MD"/>
              </w:rPr>
            </w:pPr>
            <w:r w:rsidRPr="00A96E09">
              <w:rPr>
                <w:b/>
                <w:sz w:val="18"/>
                <w:szCs w:val="18"/>
                <w:lang w:val="ro-MD"/>
              </w:rPr>
              <w:lastRenderedPageBreak/>
              <w:t>Capitolul I. Dispoziții generale</w:t>
            </w:r>
          </w:p>
          <w:p w14:paraId="447D6054" w14:textId="77777777" w:rsidR="00236954" w:rsidRPr="00A96E09" w:rsidRDefault="00236954" w:rsidP="00236954">
            <w:pPr>
              <w:jc w:val="center"/>
              <w:rPr>
                <w:i/>
                <w:sz w:val="18"/>
                <w:szCs w:val="18"/>
                <w:lang w:val="ro-MD"/>
              </w:rPr>
            </w:pPr>
          </w:p>
          <w:p w14:paraId="18E54352" w14:textId="77777777" w:rsidR="00236954" w:rsidRPr="00A96E09" w:rsidRDefault="00236954" w:rsidP="00236954">
            <w:pPr>
              <w:pStyle w:val="CM4"/>
              <w:tabs>
                <w:tab w:val="left" w:pos="150"/>
              </w:tabs>
              <w:jc w:val="center"/>
              <w:rPr>
                <w:rFonts w:ascii="Times New Roman" w:hAnsi="Times New Roman"/>
                <w:i/>
                <w:color w:val="0000CC"/>
                <w:sz w:val="18"/>
                <w:szCs w:val="18"/>
                <w:lang w:val="ro-MD"/>
              </w:rPr>
            </w:pPr>
            <w:r w:rsidRPr="00A96E09">
              <w:rPr>
                <w:rFonts w:ascii="Times New Roman" w:hAnsi="Times New Roman"/>
                <w:i/>
                <w:sz w:val="18"/>
                <w:szCs w:val="18"/>
                <w:lang w:val="ro-MD"/>
              </w:rPr>
              <w:t>Secțiunea 1. Domeniu de aplicare şi noţiuni</w:t>
            </w:r>
          </w:p>
          <w:p w14:paraId="2E545B3C" w14:textId="77777777" w:rsidR="00236954" w:rsidRPr="00A96E09" w:rsidRDefault="00236954" w:rsidP="00236954">
            <w:pPr>
              <w:rPr>
                <w:i/>
                <w:sz w:val="18"/>
                <w:szCs w:val="18"/>
                <w:lang w:val="ro-MD"/>
              </w:rPr>
            </w:pPr>
          </w:p>
          <w:p w14:paraId="753CDA58" w14:textId="77777777" w:rsidR="00236954" w:rsidRPr="00A96E09" w:rsidRDefault="00236954" w:rsidP="00236954">
            <w:pPr>
              <w:tabs>
                <w:tab w:val="left" w:pos="540"/>
              </w:tabs>
              <w:rPr>
                <w:color w:val="000000"/>
                <w:sz w:val="18"/>
                <w:szCs w:val="18"/>
                <w:lang w:val="ro-MD"/>
              </w:rPr>
            </w:pPr>
            <w:r w:rsidRPr="00A96E09">
              <w:rPr>
                <w:b/>
                <w:bCs/>
                <w:color w:val="000000"/>
                <w:sz w:val="18"/>
                <w:szCs w:val="18"/>
                <w:lang w:val="ro-MD"/>
              </w:rPr>
              <w:lastRenderedPageBreak/>
              <w:t>3.</w:t>
            </w:r>
            <w:r w:rsidRPr="00A96E09">
              <w:rPr>
                <w:color w:val="000000"/>
                <w:sz w:val="18"/>
                <w:szCs w:val="18"/>
                <w:lang w:val="ro-MD"/>
              </w:rPr>
              <w:t xml:space="preserve"> În sensul prezentului regulament se utilizează următoarele noţiuni:</w:t>
            </w:r>
          </w:p>
          <w:p w14:paraId="766D23EF" w14:textId="07A69B96" w:rsidR="00236954" w:rsidRPr="00A96E09" w:rsidRDefault="00236954" w:rsidP="00236954">
            <w:pPr>
              <w:ind w:firstLine="567"/>
              <w:rPr>
                <w:sz w:val="18"/>
                <w:szCs w:val="18"/>
                <w:lang w:val="ro-RO" w:eastAsia="en-US"/>
              </w:rPr>
            </w:pPr>
            <w:r w:rsidRPr="00A96E09">
              <w:rPr>
                <w:i/>
                <w:iCs/>
                <w:sz w:val="18"/>
                <w:szCs w:val="18"/>
                <w:lang w:val="ro-RO" w:eastAsia="en-US"/>
              </w:rPr>
              <w:t>...</w:t>
            </w:r>
          </w:p>
          <w:p w14:paraId="54087345" w14:textId="77777777" w:rsidR="00236954" w:rsidRPr="00A96E09" w:rsidRDefault="00236954" w:rsidP="00236954">
            <w:pPr>
              <w:ind w:firstLine="567"/>
              <w:rPr>
                <w:sz w:val="18"/>
                <w:szCs w:val="18"/>
                <w:lang w:val="ro-RO" w:eastAsia="en-US"/>
              </w:rPr>
            </w:pPr>
            <w:r w:rsidRPr="00A96E09">
              <w:rPr>
                <w:i/>
                <w:iCs/>
                <w:sz w:val="18"/>
                <w:szCs w:val="18"/>
                <w:lang w:val="ro-RO" w:eastAsia="en-US"/>
              </w:rPr>
              <w:t xml:space="preserve">client </w:t>
            </w:r>
            <w:r w:rsidRPr="00A96E09">
              <w:rPr>
                <w:sz w:val="18"/>
                <w:szCs w:val="18"/>
                <w:lang w:val="ro-RO" w:eastAsia="en-US"/>
              </w:rPr>
              <w:t>- o întreprindere a cărei relație contractuală cu un membru compensator al unei CPC îi permite să își compenseze tranzacțiile prin CPC respectivă;</w:t>
            </w:r>
          </w:p>
          <w:p w14:paraId="633B0A30" w14:textId="77777777" w:rsidR="00236954" w:rsidRPr="00A96E09" w:rsidRDefault="00236954" w:rsidP="00236954">
            <w:pPr>
              <w:ind w:firstLine="567"/>
              <w:rPr>
                <w:sz w:val="18"/>
                <w:szCs w:val="18"/>
                <w:lang w:val="ro-RO" w:eastAsia="en-US"/>
              </w:rPr>
            </w:pPr>
            <w:r w:rsidRPr="00A96E09">
              <w:rPr>
                <w:i/>
                <w:iCs/>
                <w:sz w:val="18"/>
                <w:szCs w:val="18"/>
                <w:lang w:val="ro-RO" w:eastAsia="en-US"/>
              </w:rPr>
              <w:t>client de nivel superior</w:t>
            </w:r>
            <w:r w:rsidRPr="00A96E09">
              <w:rPr>
                <w:sz w:val="18"/>
                <w:szCs w:val="18"/>
                <w:lang w:val="ro-RO" w:eastAsia="en-US"/>
              </w:rPr>
              <w:t xml:space="preserve"> - o entitate care furnizează servicii de compensare unui client de nivel inferior;</w:t>
            </w:r>
          </w:p>
          <w:p w14:paraId="6B02B165" w14:textId="77777777" w:rsidR="00236954" w:rsidRPr="00A96E09" w:rsidRDefault="00236954" w:rsidP="00236954">
            <w:pPr>
              <w:ind w:firstLine="567"/>
              <w:rPr>
                <w:sz w:val="18"/>
                <w:szCs w:val="18"/>
                <w:lang w:val="ro-RO" w:eastAsia="en-US"/>
              </w:rPr>
            </w:pPr>
            <w:r w:rsidRPr="00A96E09">
              <w:rPr>
                <w:i/>
                <w:iCs/>
                <w:sz w:val="18"/>
                <w:szCs w:val="18"/>
                <w:lang w:val="ro-RO" w:eastAsia="en-US"/>
              </w:rPr>
              <w:t>client de nivel inferior</w:t>
            </w:r>
            <w:r w:rsidRPr="00A96E09">
              <w:rPr>
                <w:sz w:val="18"/>
                <w:szCs w:val="18"/>
                <w:lang w:val="ro-RO" w:eastAsia="en-US"/>
              </w:rPr>
              <w:t xml:space="preserve"> - o entitate care accesează serviciile unei CPC prin intermediul unui client de nivel superior;</w:t>
            </w:r>
          </w:p>
          <w:p w14:paraId="5F873102" w14:textId="3F4DD830" w:rsidR="00236954" w:rsidRPr="00A96E09" w:rsidRDefault="00236954" w:rsidP="00236954">
            <w:pPr>
              <w:ind w:firstLine="567"/>
              <w:rPr>
                <w:sz w:val="18"/>
                <w:szCs w:val="18"/>
                <w:lang w:val="ro-RO" w:eastAsia="en-US"/>
              </w:rPr>
            </w:pPr>
            <w:r w:rsidRPr="00A96E09">
              <w:rPr>
                <w:i/>
                <w:iCs/>
                <w:sz w:val="18"/>
                <w:szCs w:val="18"/>
                <w:lang w:val="ro-RO" w:eastAsia="en-US"/>
              </w:rPr>
              <w:t>...</w:t>
            </w:r>
          </w:p>
          <w:p w14:paraId="607005D9" w14:textId="77777777" w:rsidR="00236954" w:rsidRPr="00A96E09" w:rsidRDefault="00236954" w:rsidP="00236954">
            <w:pPr>
              <w:ind w:firstLine="567"/>
              <w:rPr>
                <w:sz w:val="18"/>
                <w:szCs w:val="18"/>
                <w:lang w:val="ro-RO" w:eastAsia="en-US"/>
              </w:rPr>
            </w:pPr>
            <w:r w:rsidRPr="00A96E09">
              <w:rPr>
                <w:i/>
                <w:iCs/>
                <w:sz w:val="18"/>
                <w:szCs w:val="18"/>
                <w:lang w:val="ro-RO" w:eastAsia="en-US"/>
              </w:rPr>
              <w:t>contribuţie nefinanţată la un fond de garantare</w:t>
            </w:r>
            <w:r w:rsidRPr="00A96E09">
              <w:rPr>
                <w:sz w:val="18"/>
                <w:szCs w:val="18"/>
                <w:lang w:val="ro-RO" w:eastAsia="en-US"/>
              </w:rPr>
              <w:t xml:space="preserve"> - o contribuţie pe care o bancă care acţionează ca membru compensator s-a angajat contractual să o furnizeze unei CPC după ce aceasta din urmă și-a epuizat fondul de garantare pentru a acoperi pierderile suportate ca urmare a intrării în stare de nerambursare a unuia sau a mai multora dintre membrii săi compensatori;</w:t>
            </w:r>
          </w:p>
          <w:p w14:paraId="50C9A9F5" w14:textId="3DB13850" w:rsidR="00236954" w:rsidRPr="00A96E09" w:rsidRDefault="00236954" w:rsidP="00236954">
            <w:pPr>
              <w:ind w:firstLine="567"/>
              <w:rPr>
                <w:sz w:val="18"/>
                <w:szCs w:val="18"/>
                <w:lang w:val="ro-RO" w:eastAsia="en-US"/>
              </w:rPr>
            </w:pPr>
            <w:r w:rsidRPr="00A96E09">
              <w:rPr>
                <w:sz w:val="18"/>
                <w:szCs w:val="18"/>
                <w:lang w:val="ro-RO" w:eastAsia="en-US"/>
              </w:rPr>
              <w:t>...</w:t>
            </w:r>
          </w:p>
          <w:p w14:paraId="6389FB76" w14:textId="77777777" w:rsidR="00236954" w:rsidRPr="00A96E09" w:rsidRDefault="00236954" w:rsidP="00236954">
            <w:pPr>
              <w:ind w:firstLine="567"/>
              <w:rPr>
                <w:sz w:val="18"/>
                <w:szCs w:val="18"/>
                <w:lang w:val="ro-RO" w:eastAsia="en-US"/>
              </w:rPr>
            </w:pPr>
            <w:r w:rsidRPr="00A96E09">
              <w:rPr>
                <w:i/>
                <w:iCs/>
                <w:sz w:val="18"/>
                <w:szCs w:val="18"/>
                <w:lang w:val="ro-RO" w:eastAsia="en-US"/>
              </w:rPr>
              <w:t>indisponibil în caz de faliment</w:t>
            </w:r>
            <w:r w:rsidRPr="00A96E09">
              <w:rPr>
                <w:sz w:val="18"/>
                <w:szCs w:val="18"/>
                <w:lang w:val="ro-RO" w:eastAsia="en-US"/>
              </w:rPr>
              <w:t xml:space="preserve"> - cu privire la activele clienţilor, înseamnă existenţa unor dispoziţii eficace conform cărora activele respective fie nu vor fi disponibile creditorilor unei CPC sau unui membru compensator, în cazul insolvenţei CPC în cauză sau, respectiv, a membrului compensator în cauză, fie nu vor fi disponibile membrului compensator pentru a acoperi pierderile înregistrate ca urmare a nerambursării de către un client sau mai mulţi clienţi, alţii decât cei care au pus la dispoziţie activele respective;</w:t>
            </w:r>
          </w:p>
          <w:p w14:paraId="3F80C771" w14:textId="77777777" w:rsidR="00236954" w:rsidRPr="00A96E09" w:rsidRDefault="00236954" w:rsidP="00236954">
            <w:pPr>
              <w:ind w:firstLine="567"/>
              <w:rPr>
                <w:sz w:val="18"/>
                <w:szCs w:val="18"/>
                <w:lang w:val="ro-RO" w:eastAsia="en-US"/>
              </w:rPr>
            </w:pPr>
            <w:r w:rsidRPr="00A96E09">
              <w:rPr>
                <w:i/>
                <w:iCs/>
                <w:sz w:val="18"/>
                <w:szCs w:val="18"/>
                <w:lang w:val="ro-RO" w:eastAsia="en-US"/>
              </w:rPr>
              <w:t>membru compensator</w:t>
            </w:r>
            <w:r w:rsidRPr="00A96E09">
              <w:rPr>
                <w:sz w:val="18"/>
                <w:szCs w:val="18"/>
                <w:lang w:val="ro-RO" w:eastAsia="en-US"/>
              </w:rPr>
              <w:t xml:space="preserve"> - o persoană juridică care participă în cadrul unei CPC şi care răspunde de executarea obligaţiilor financiare care decurg din această participare;</w:t>
            </w:r>
          </w:p>
          <w:p w14:paraId="00E03BE5" w14:textId="0743C73A" w:rsidR="00236954" w:rsidRPr="00A96E09" w:rsidRDefault="00236954" w:rsidP="00236954">
            <w:pPr>
              <w:ind w:firstLine="567"/>
              <w:rPr>
                <w:sz w:val="18"/>
                <w:szCs w:val="18"/>
                <w:lang w:val="ro-MD" w:eastAsia="en-US"/>
              </w:rPr>
            </w:pPr>
            <w:r w:rsidRPr="00A96E09">
              <w:rPr>
                <w:i/>
                <w:iCs/>
                <w:sz w:val="18"/>
                <w:szCs w:val="18"/>
                <w:lang w:val="ro-RO" w:eastAsia="en-US"/>
              </w:rPr>
              <w:t>..</w:t>
            </w:r>
          </w:p>
          <w:p w14:paraId="3566765E" w14:textId="77777777" w:rsidR="00236954" w:rsidRPr="00A96E09" w:rsidRDefault="00236954" w:rsidP="00236954">
            <w:pPr>
              <w:ind w:firstLine="567"/>
              <w:rPr>
                <w:sz w:val="18"/>
                <w:szCs w:val="18"/>
                <w:lang w:val="ro-MD" w:eastAsia="en-US"/>
              </w:rPr>
            </w:pPr>
            <w:r w:rsidRPr="00A96E09">
              <w:rPr>
                <w:i/>
                <w:iCs/>
                <w:sz w:val="18"/>
                <w:szCs w:val="18"/>
                <w:lang w:val="ro-MD" w:eastAsia="en-US"/>
              </w:rPr>
              <w:t>structură a clientelei pe mai multe niveluri</w:t>
            </w:r>
            <w:r w:rsidRPr="00A96E09">
              <w:rPr>
                <w:sz w:val="18"/>
                <w:szCs w:val="18"/>
                <w:lang w:val="ro-MD" w:eastAsia="en-US"/>
              </w:rPr>
              <w:t xml:space="preserve"> - un mecanism indirect de compensare în temeiul căruia unei bănci îi sunt furnizate servicii de compensare de către o entitate care nu este un membru compensator, ci este la </w:t>
            </w:r>
            <w:r w:rsidRPr="00A96E09">
              <w:rPr>
                <w:sz w:val="18"/>
                <w:szCs w:val="18"/>
                <w:lang w:val="ro-MD" w:eastAsia="en-US"/>
              </w:rPr>
              <w:lastRenderedPageBreak/>
              <w:t>rândul său client al unui membru compensator sau al unui client de nivel superior;</w:t>
            </w:r>
          </w:p>
          <w:p w14:paraId="3DEF2974" w14:textId="70D6C64B" w:rsidR="00236954" w:rsidRPr="00A96E09" w:rsidRDefault="00236954" w:rsidP="00236954">
            <w:pPr>
              <w:ind w:firstLine="567"/>
              <w:rPr>
                <w:sz w:val="18"/>
                <w:szCs w:val="18"/>
                <w:lang w:val="ro-MD" w:eastAsia="en-US"/>
              </w:rPr>
            </w:pPr>
            <w:r w:rsidRPr="00A96E09">
              <w:rPr>
                <w:i/>
                <w:iCs/>
                <w:sz w:val="18"/>
                <w:szCs w:val="18"/>
                <w:lang w:val="ro-MD" w:eastAsia="en-US"/>
              </w:rPr>
              <w:t>...</w:t>
            </w:r>
          </w:p>
          <w:p w14:paraId="1B161CDC" w14:textId="77777777" w:rsidR="00236954" w:rsidRPr="00A96E09" w:rsidRDefault="00236954" w:rsidP="00236954">
            <w:pPr>
              <w:ind w:firstLine="567"/>
              <w:rPr>
                <w:sz w:val="18"/>
                <w:szCs w:val="18"/>
                <w:lang w:val="ro-MD" w:eastAsia="en-US"/>
              </w:rPr>
            </w:pPr>
            <w:r w:rsidRPr="00A96E09">
              <w:rPr>
                <w:i/>
                <w:iCs/>
                <w:sz w:val="18"/>
                <w:szCs w:val="18"/>
                <w:lang w:val="ro-MD" w:eastAsia="en-US"/>
              </w:rPr>
              <w:t>tranzacţie de dare sau luare cu împrumut de depozite garantată integral</w:t>
            </w:r>
            <w:r w:rsidRPr="00A96E09">
              <w:rPr>
                <w:sz w:val="18"/>
                <w:szCs w:val="18"/>
                <w:lang w:val="ro-MD" w:eastAsia="en-US"/>
              </w:rPr>
              <w:t xml:space="preserve"> - o tranzacţie de piaţă monetară acoperită integral cu garanţii reale în cadrul căreia două contrapărţi fac schimb de depozite și o CPC se interpune între acestea pentru a asigura executarea obligaţiilor de plată ale contrapărţilor respective;</w:t>
            </w:r>
          </w:p>
          <w:p w14:paraId="3A5DF5F8" w14:textId="6D881C0C" w:rsidR="00236954" w:rsidRPr="00A96E09" w:rsidRDefault="00236954" w:rsidP="00236954">
            <w:pPr>
              <w:ind w:firstLine="567"/>
              <w:rPr>
                <w:sz w:val="18"/>
                <w:szCs w:val="18"/>
                <w:lang w:val="ro-MD" w:eastAsia="en-US"/>
              </w:rPr>
            </w:pPr>
            <w:r w:rsidRPr="00A96E09">
              <w:rPr>
                <w:i/>
                <w:iCs/>
                <w:sz w:val="18"/>
                <w:szCs w:val="18"/>
                <w:lang w:val="ro-MD" w:eastAsia="en-US"/>
              </w:rPr>
              <w:t>tranzacţie legată de o CPC</w:t>
            </w:r>
            <w:r w:rsidRPr="00A96E09">
              <w:rPr>
                <w:sz w:val="18"/>
                <w:szCs w:val="18"/>
                <w:lang w:val="ro-MD" w:eastAsia="en-US"/>
              </w:rPr>
              <w:t xml:space="preserve"> - un contract sau o tranzacţie, enumerate la punctul 125, între un client și un membru compensator care sunt direct legate de un contract sau de o tranzacţie enumerate la alineatul respectiv între membrul compensator respectiv și o CPC;</w:t>
            </w:r>
          </w:p>
          <w:p w14:paraId="41B200F6" w14:textId="77777777" w:rsidR="00236954" w:rsidRPr="00A96E09" w:rsidRDefault="00236954" w:rsidP="00236954">
            <w:pPr>
              <w:ind w:firstLine="567"/>
              <w:rPr>
                <w:sz w:val="18"/>
                <w:szCs w:val="18"/>
                <w:lang w:val="ro-MD" w:eastAsia="en-US"/>
              </w:rPr>
            </w:pPr>
            <w:r w:rsidRPr="00A96E09">
              <w:rPr>
                <w:i/>
                <w:iCs/>
                <w:sz w:val="18"/>
                <w:szCs w:val="18"/>
                <w:lang w:val="ro-MD" w:eastAsia="en-US"/>
              </w:rPr>
              <w:t>tranzacţie în numerar</w:t>
            </w:r>
            <w:r w:rsidRPr="00A96E09">
              <w:rPr>
                <w:sz w:val="18"/>
                <w:szCs w:val="18"/>
                <w:lang w:val="ro-MD" w:eastAsia="en-US"/>
              </w:rPr>
              <w:t xml:space="preserve"> - tranzacţie cu numerar, titluri de datorie sau titluri de capital, o tranzacţie de schimb valutar la vedere sau o tranzacţie cu mărfuri la vedere; cu toate acestea, tranzacţiile de răscumpărare, tranzacţiile de dare cu împrumut de titluri de valoare sau de mărfuri și tranzacţiile de luare cu împrumut de titluri de valoare sau de mărfuri nu sunt tranzacţii în numerar;</w:t>
            </w:r>
          </w:p>
          <w:p w14:paraId="64DBBD59" w14:textId="677EE580" w:rsidR="00236954" w:rsidRPr="00A96E09" w:rsidRDefault="00236954" w:rsidP="00236954">
            <w:pPr>
              <w:ind w:firstLine="567"/>
              <w:rPr>
                <w:sz w:val="18"/>
                <w:szCs w:val="18"/>
                <w:lang w:val="ro-MD" w:eastAsia="en-US"/>
              </w:rPr>
            </w:pPr>
            <w:r w:rsidRPr="00A96E09">
              <w:rPr>
                <w:i/>
                <w:iCs/>
                <w:sz w:val="18"/>
                <w:szCs w:val="18"/>
                <w:lang w:val="ro-MD" w:eastAsia="en-US"/>
              </w:rPr>
              <w:t>...</w:t>
            </w:r>
          </w:p>
          <w:p w14:paraId="30BBFD21" w14:textId="77777777" w:rsidR="00236954" w:rsidRPr="00A96E09" w:rsidRDefault="00236954" w:rsidP="00236954">
            <w:pPr>
              <w:jc w:val="center"/>
              <w:rPr>
                <w:b/>
                <w:bCs/>
                <w:sz w:val="18"/>
                <w:szCs w:val="18"/>
                <w:lang w:val="ro-MD" w:eastAsia="en-US"/>
              </w:rPr>
            </w:pPr>
          </w:p>
        </w:tc>
        <w:tc>
          <w:tcPr>
            <w:tcW w:w="1554" w:type="dxa"/>
          </w:tcPr>
          <w:p w14:paraId="36EA9715" w14:textId="29C71D0C" w:rsidR="00236954" w:rsidRPr="00A96E09" w:rsidRDefault="00236954" w:rsidP="00236954">
            <w:pPr>
              <w:jc w:val="both"/>
              <w:rPr>
                <w:sz w:val="18"/>
                <w:szCs w:val="18"/>
                <w:lang w:val="ro-MD"/>
              </w:rPr>
            </w:pPr>
            <w:r w:rsidRPr="00A96E09">
              <w:rPr>
                <w:sz w:val="18"/>
                <w:szCs w:val="18"/>
                <w:lang w:val="ro-MD"/>
              </w:rPr>
              <w:lastRenderedPageBreak/>
              <w:t>Parțial compatibil</w:t>
            </w:r>
          </w:p>
        </w:tc>
        <w:tc>
          <w:tcPr>
            <w:tcW w:w="4683" w:type="dxa"/>
            <w:tcBorders>
              <w:top w:val="single" w:sz="4" w:space="0" w:color="auto"/>
              <w:bottom w:val="single" w:sz="4" w:space="0" w:color="auto"/>
            </w:tcBorders>
          </w:tcPr>
          <w:p w14:paraId="3721A405" w14:textId="77777777" w:rsidR="00236954" w:rsidRPr="00A96E09" w:rsidRDefault="00236954" w:rsidP="00236954">
            <w:pPr>
              <w:rPr>
                <w:sz w:val="18"/>
                <w:szCs w:val="18"/>
                <w:lang w:val="ro-RO"/>
              </w:rPr>
            </w:pPr>
            <w:r w:rsidRPr="00A96E09">
              <w:rPr>
                <w:sz w:val="18"/>
                <w:szCs w:val="18"/>
                <w:lang w:val="ro-MD"/>
              </w:rPr>
              <w:t xml:space="preserve">Termenii care nu au fost </w:t>
            </w:r>
            <w:r w:rsidRPr="00A96E09">
              <w:rPr>
                <w:sz w:val="18"/>
                <w:szCs w:val="18"/>
                <w:lang w:val="ro-RO"/>
              </w:rPr>
              <w:t>transpuși, se vor transpune la o etapă ulterioară – în funcție de necesitatea termenilor respectivi.</w:t>
            </w:r>
          </w:p>
          <w:p w14:paraId="4696D4BC" w14:textId="77777777" w:rsidR="00236954" w:rsidRPr="00A96E09" w:rsidRDefault="00236954" w:rsidP="00236954">
            <w:pPr>
              <w:jc w:val="both"/>
              <w:rPr>
                <w:sz w:val="18"/>
                <w:szCs w:val="18"/>
                <w:lang w:val="ro-MD"/>
              </w:rPr>
            </w:pPr>
          </w:p>
        </w:tc>
      </w:tr>
      <w:tr w:rsidR="00236954" w:rsidRPr="00A96E09" w14:paraId="35D642AB" w14:textId="77777777" w:rsidTr="00C14AF6">
        <w:trPr>
          <w:trHeight w:val="918"/>
        </w:trPr>
        <w:tc>
          <w:tcPr>
            <w:tcW w:w="3866" w:type="dxa"/>
          </w:tcPr>
          <w:p w14:paraId="779F5CE8" w14:textId="08646DD4"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301 </w:t>
            </w:r>
            <w:r w:rsidRPr="00A96E09">
              <w:rPr>
                <w:rFonts w:eastAsiaTheme="minorHAnsi"/>
                <w:b/>
                <w:bCs/>
                <w:color w:val="000000"/>
                <w:sz w:val="18"/>
                <w:szCs w:val="18"/>
                <w:lang w:val="ro-MD" w:eastAsia="en-US"/>
              </w:rPr>
              <w:t xml:space="preserve">Domeniul de aplicare material </w:t>
            </w:r>
          </w:p>
          <w:p w14:paraId="37BC3415"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Prezenta secţiune se aplică următoarelor contracte și tranzacţii, atât timp cât sunt în curs de desfășurare cu o CPC: </w:t>
            </w:r>
          </w:p>
          <w:p w14:paraId="4A26D09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contractelor derivate enumerate în anexa II și instrumentelor financiare derivate de credit; </w:t>
            </w:r>
          </w:p>
          <w:p w14:paraId="4E1CE4D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operaţiunilor de finanţare prin titluri de valoare și tranzacţiilor de dare sau luare cu împrumut de depozite garantate integral; și </w:t>
            </w:r>
          </w:p>
          <w:p w14:paraId="458481A5"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(c) tranzacţiilor cu termen lung de decontare. </w:t>
            </w:r>
          </w:p>
          <w:p w14:paraId="076E79DA"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Prezenta secţiune nu se aplică expunerilor care rezultă din decontarea tranzacţiilor în numerar. Instituţiile aplică tratamentul prevăzut la titlul V expunerilor din tranzacţii ce rezultă din respectivele tranzacţii și o pondere de risc de 0 % contribuţiilor la fondul de garantare care acoperă doar acele tranzacţii. Instituţiile aplică tratamentul prevăzut la articolul 307 contribuţiilor la fondul de garantare care acoperă oricare dintre tipurile de contracte menţionate la primul paragraf din prezentul alineat, în plus faţă de tranzacţiile în numerar. </w:t>
            </w:r>
          </w:p>
          <w:p w14:paraId="34454AAE"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(2) În sensul prezentei secţiuni, se aplică următoarele cerinţe: </w:t>
            </w:r>
          </w:p>
          <w:p w14:paraId="614ECEAC"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marja iniţială nu include contribuţiile către o CPC pentru acorduri mutualizate de partajare a pierderilor; </w:t>
            </w:r>
          </w:p>
          <w:p w14:paraId="275B980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marja iniţială include garanţiile reale depuse de o instituţie care acţionează în calitate de membru compensator sau de client peste suma minimă impusă de CPC sau de instituţia care acţionează ca membru compensator, cu condiţia ca respectiva CPC sau instituţia care acţionează ca membru compensator să poată, în cazurile corespunzătoare, să împiedice instituţia care acţionează ca membru compensator sau clientul să retragă aceste garanţii reale excedentare; </w:t>
            </w:r>
          </w:p>
          <w:p w14:paraId="0E791A4D" w14:textId="7FE4A5A0" w:rsidR="00236954" w:rsidRPr="00A96E09" w:rsidRDefault="00236954" w:rsidP="00236954">
            <w:pPr>
              <w:pStyle w:val="title-article-norm"/>
              <w:rPr>
                <w:i w:val="0"/>
                <w:sz w:val="18"/>
                <w:szCs w:val="18"/>
                <w:lang w:val="ro-MD"/>
              </w:rPr>
            </w:pPr>
            <w:r w:rsidRPr="00A96E09">
              <w:rPr>
                <w:rFonts w:eastAsiaTheme="minorHAnsi"/>
                <w:i w:val="0"/>
                <w:iCs w:val="0"/>
                <w:color w:val="000000"/>
                <w:sz w:val="18"/>
                <w:szCs w:val="18"/>
                <w:lang w:val="ro-MD"/>
              </w:rPr>
              <w:lastRenderedPageBreak/>
              <w:t>(c) în cazul în care o CPC utilizează marja iniţială pentru a mutualiza pierderile în rândul membrilor săi compensatori, instituţiile care acţionează ca membri compensatori tratează marja iniţială respectivă ca fiind o contribuţie la fondul de garantare.</w:t>
            </w:r>
          </w:p>
        </w:tc>
        <w:tc>
          <w:tcPr>
            <w:tcW w:w="4356" w:type="dxa"/>
          </w:tcPr>
          <w:p w14:paraId="7BBFD363" w14:textId="77777777" w:rsidR="00236954" w:rsidRPr="00A96E09" w:rsidRDefault="00236954" w:rsidP="00236954">
            <w:pPr>
              <w:ind w:hanging="5"/>
              <w:jc w:val="center"/>
              <w:rPr>
                <w:b/>
                <w:bCs/>
                <w:sz w:val="18"/>
                <w:szCs w:val="18"/>
                <w:lang w:val="ro-MD" w:eastAsia="en-US"/>
              </w:rPr>
            </w:pPr>
            <w:r w:rsidRPr="00A96E09">
              <w:rPr>
                <w:b/>
                <w:bCs/>
                <w:sz w:val="18"/>
                <w:szCs w:val="18"/>
                <w:lang w:val="ro-MD" w:eastAsia="en-US"/>
              </w:rPr>
              <w:lastRenderedPageBreak/>
              <w:t>Capitolul VIII</w:t>
            </w:r>
          </w:p>
          <w:p w14:paraId="091D7621" w14:textId="77777777" w:rsidR="00236954" w:rsidRPr="00A96E09" w:rsidRDefault="00236954" w:rsidP="00236954">
            <w:pPr>
              <w:ind w:hanging="5"/>
              <w:jc w:val="center"/>
              <w:rPr>
                <w:b/>
                <w:bCs/>
                <w:sz w:val="18"/>
                <w:szCs w:val="18"/>
                <w:lang w:val="ro-MD" w:eastAsia="en-US"/>
              </w:rPr>
            </w:pPr>
            <w:r w:rsidRPr="00A96E09">
              <w:rPr>
                <w:b/>
                <w:bCs/>
                <w:sz w:val="18"/>
                <w:szCs w:val="18"/>
                <w:lang w:val="ro-MD" w:eastAsia="en-US"/>
              </w:rPr>
              <w:t>CERINŢELE DE FONDURI PROPRII PENTRU EXPUNERILE FAȚĂ</w:t>
            </w:r>
          </w:p>
          <w:p w14:paraId="4A497886" w14:textId="77777777" w:rsidR="00236954" w:rsidRPr="00A96E09" w:rsidRDefault="00236954" w:rsidP="00236954">
            <w:pPr>
              <w:ind w:hanging="5"/>
              <w:jc w:val="center"/>
              <w:rPr>
                <w:b/>
                <w:bCs/>
                <w:sz w:val="18"/>
                <w:szCs w:val="18"/>
                <w:lang w:val="ro-MD" w:eastAsia="en-US"/>
              </w:rPr>
            </w:pPr>
            <w:r w:rsidRPr="00A96E09">
              <w:rPr>
                <w:b/>
                <w:bCs/>
                <w:sz w:val="18"/>
                <w:szCs w:val="18"/>
                <w:lang w:val="ro-MD" w:eastAsia="en-US"/>
              </w:rPr>
              <w:t>DE O CONTAPARTE CENTRALĂ</w:t>
            </w:r>
          </w:p>
          <w:p w14:paraId="7FA190C8" w14:textId="77777777" w:rsidR="00236954" w:rsidRPr="00A96E09" w:rsidRDefault="00236954" w:rsidP="00236954">
            <w:pPr>
              <w:ind w:hanging="5"/>
              <w:jc w:val="center"/>
              <w:rPr>
                <w:b/>
                <w:bCs/>
                <w:sz w:val="18"/>
                <w:szCs w:val="18"/>
                <w:lang w:val="ro-MD" w:eastAsia="en-US"/>
              </w:rPr>
            </w:pPr>
          </w:p>
          <w:p w14:paraId="743C3C45" w14:textId="77777777" w:rsidR="00236954" w:rsidRPr="00A96E09" w:rsidRDefault="00236954" w:rsidP="00236954">
            <w:pPr>
              <w:ind w:hanging="5"/>
              <w:jc w:val="center"/>
              <w:rPr>
                <w:b/>
                <w:bCs/>
                <w:sz w:val="18"/>
                <w:szCs w:val="18"/>
                <w:lang w:val="ro-MD" w:eastAsia="en-US"/>
              </w:rPr>
            </w:pPr>
            <w:r w:rsidRPr="00A96E09">
              <w:rPr>
                <w:b/>
                <w:bCs/>
                <w:i/>
                <w:iCs/>
                <w:sz w:val="18"/>
                <w:szCs w:val="18"/>
                <w:lang w:val="ro-MD" w:eastAsia="en-US"/>
              </w:rPr>
              <w:t>Secţiunea 1</w:t>
            </w:r>
          </w:p>
          <w:p w14:paraId="45E10765" w14:textId="05B7F848" w:rsidR="00236954" w:rsidRPr="00A96E09" w:rsidRDefault="00236954" w:rsidP="00236954">
            <w:pPr>
              <w:ind w:hanging="5"/>
              <w:jc w:val="center"/>
              <w:rPr>
                <w:b/>
                <w:bCs/>
                <w:sz w:val="18"/>
                <w:szCs w:val="18"/>
                <w:lang w:val="ro-MD" w:eastAsia="en-US"/>
              </w:rPr>
            </w:pPr>
            <w:r w:rsidRPr="00A96E09">
              <w:rPr>
                <w:b/>
                <w:bCs/>
                <w:sz w:val="18"/>
                <w:szCs w:val="18"/>
                <w:lang w:val="ro-MD" w:eastAsia="en-US"/>
              </w:rPr>
              <w:t>Domeniul de aplicare</w:t>
            </w:r>
          </w:p>
          <w:p w14:paraId="64E58FEC" w14:textId="77777777" w:rsidR="00236954" w:rsidRPr="00A96E09" w:rsidRDefault="00236954" w:rsidP="00236954">
            <w:pPr>
              <w:numPr>
                <w:ilvl w:val="0"/>
                <w:numId w:val="34"/>
              </w:numPr>
              <w:tabs>
                <w:tab w:val="left" w:pos="0"/>
                <w:tab w:val="left" w:pos="414"/>
              </w:tabs>
              <w:ind w:left="0" w:hanging="12"/>
              <w:jc w:val="both"/>
              <w:rPr>
                <w:sz w:val="18"/>
                <w:szCs w:val="18"/>
                <w:lang w:val="ro-MD" w:eastAsia="en-US"/>
              </w:rPr>
            </w:pPr>
            <w:bookmarkStart w:id="51" w:name="_Ref168490370"/>
            <w:r w:rsidRPr="00A96E09">
              <w:rPr>
                <w:sz w:val="18"/>
                <w:szCs w:val="18"/>
                <w:lang w:val="ro-MD" w:eastAsia="en-US"/>
              </w:rPr>
              <w:t>Prezentul capitol se aplică următoarelor contracte și tranzacţii, atât timp cât sunt în curs de desfășurare cu o CPC:</w:t>
            </w:r>
            <w:bookmarkEnd w:id="51"/>
          </w:p>
          <w:p w14:paraId="55CF2F98" w14:textId="77777777" w:rsidR="00236954" w:rsidRPr="00A96E09" w:rsidRDefault="00236954" w:rsidP="00236954">
            <w:pPr>
              <w:numPr>
                <w:ilvl w:val="1"/>
                <w:numId w:val="34"/>
              </w:numPr>
              <w:tabs>
                <w:tab w:val="left" w:pos="569"/>
              </w:tabs>
              <w:ind w:left="2" w:firstLine="0"/>
              <w:jc w:val="both"/>
              <w:rPr>
                <w:sz w:val="18"/>
                <w:szCs w:val="18"/>
                <w:lang w:val="ro-MD" w:eastAsia="en-US"/>
              </w:rPr>
            </w:pPr>
            <w:r w:rsidRPr="00A96E09">
              <w:rPr>
                <w:sz w:val="18"/>
                <w:szCs w:val="18"/>
                <w:lang w:val="ro-MD" w:eastAsia="en-US"/>
              </w:rPr>
              <w:t>contractelor derivate enumerate în anexa nr.1 la Regulamentul nr.114/2018 și instrumentelor financiare derivate de credit;</w:t>
            </w:r>
          </w:p>
          <w:p w14:paraId="0861B26A" w14:textId="77777777" w:rsidR="00236954" w:rsidRPr="00A96E09" w:rsidRDefault="00236954" w:rsidP="00236954">
            <w:pPr>
              <w:numPr>
                <w:ilvl w:val="1"/>
                <w:numId w:val="34"/>
              </w:numPr>
              <w:tabs>
                <w:tab w:val="left" w:pos="569"/>
              </w:tabs>
              <w:ind w:left="2" w:firstLine="0"/>
              <w:jc w:val="both"/>
              <w:rPr>
                <w:sz w:val="18"/>
                <w:szCs w:val="18"/>
                <w:lang w:val="ro-MD" w:eastAsia="en-US"/>
              </w:rPr>
            </w:pPr>
            <w:r w:rsidRPr="00A96E09">
              <w:rPr>
                <w:sz w:val="18"/>
                <w:szCs w:val="18"/>
                <w:lang w:val="ro-MD" w:eastAsia="en-US"/>
              </w:rPr>
              <w:t>operaţiunilor de finanţare prin titluri de valoare și tranzacţiilor de dare sau luare cu împrumut de depozite garantate integral; și</w:t>
            </w:r>
          </w:p>
          <w:p w14:paraId="270637F8" w14:textId="77777777" w:rsidR="00236954" w:rsidRPr="00A96E09" w:rsidRDefault="00236954" w:rsidP="00236954">
            <w:pPr>
              <w:numPr>
                <w:ilvl w:val="1"/>
                <w:numId w:val="34"/>
              </w:numPr>
              <w:tabs>
                <w:tab w:val="left" w:pos="569"/>
              </w:tabs>
              <w:ind w:left="0" w:firstLine="2"/>
              <w:jc w:val="both"/>
              <w:rPr>
                <w:sz w:val="18"/>
                <w:szCs w:val="18"/>
                <w:lang w:val="ro-MD" w:eastAsia="en-US"/>
              </w:rPr>
            </w:pPr>
            <w:r w:rsidRPr="00A96E09">
              <w:rPr>
                <w:sz w:val="18"/>
                <w:szCs w:val="18"/>
                <w:lang w:val="ro-MD" w:eastAsia="en-US"/>
              </w:rPr>
              <w:t>tranzacţiilor cu termen lung de decontare.</w:t>
            </w:r>
          </w:p>
          <w:p w14:paraId="349DE60F" w14:textId="6B633114" w:rsidR="00236954" w:rsidRPr="00A96E09" w:rsidRDefault="00236954" w:rsidP="00236954">
            <w:pPr>
              <w:numPr>
                <w:ilvl w:val="0"/>
                <w:numId w:val="34"/>
              </w:numPr>
              <w:tabs>
                <w:tab w:val="left" w:pos="428"/>
              </w:tabs>
              <w:ind w:left="2" w:firstLine="0"/>
              <w:jc w:val="both"/>
              <w:rPr>
                <w:sz w:val="18"/>
                <w:szCs w:val="18"/>
                <w:lang w:val="ro-MD" w:eastAsia="en-US"/>
              </w:rPr>
            </w:pPr>
            <w:r w:rsidRPr="00A96E09">
              <w:rPr>
                <w:sz w:val="18"/>
                <w:szCs w:val="18"/>
                <w:lang w:val="ro-MD" w:eastAsia="en-US"/>
              </w:rPr>
              <w:t>Prezentul capitol nu se aplică expunerilor care rezultă din decontarea tranzacţiilor în numerar. Băncile aplică tratamentul prevăzut în Regulamentul cu privire la tratamentul riscului de decontare/livrare pentru bănci,</w:t>
            </w:r>
            <w:r w:rsidRPr="00A96E09">
              <w:rPr>
                <w:sz w:val="18"/>
                <w:szCs w:val="18"/>
                <w:lang w:val="en-US" w:eastAsia="en-US"/>
              </w:rPr>
              <w:t xml:space="preserve"> </w:t>
            </w:r>
            <w:r w:rsidRPr="00A96E09">
              <w:rPr>
                <w:sz w:val="18"/>
                <w:szCs w:val="18"/>
                <w:lang w:val="ro-MD" w:eastAsia="en-US"/>
              </w:rPr>
              <w:t>aprobat prin Hotărârea Comitetului executiv al Băncii Naționale a Moldovei nr. 115/2018, expunerilor ce rezultă din respectivele tranzacţii și o pondere de risc de 0 % contribuţiilor la fondul de garantare care acoperă doar acele tranzacţii. Băncile aplică tratamentul prevăzut la punctul 149 contribuţiilor la fondul de garantare care acoperă oricare dintre tipurile de contracte menţionate  în anexa nr.1 la Regulamentul nr.114/2018, în plus faţă de tranzacţiile în numerar.</w:t>
            </w:r>
          </w:p>
          <w:p w14:paraId="288F936F" w14:textId="77777777" w:rsidR="00236954" w:rsidRPr="00A96E09" w:rsidRDefault="00236954" w:rsidP="00236954">
            <w:pPr>
              <w:numPr>
                <w:ilvl w:val="0"/>
                <w:numId w:val="34"/>
              </w:numPr>
              <w:tabs>
                <w:tab w:val="left" w:pos="428"/>
              </w:tabs>
              <w:ind w:left="2" w:firstLine="0"/>
              <w:jc w:val="both"/>
              <w:rPr>
                <w:sz w:val="18"/>
                <w:szCs w:val="18"/>
                <w:lang w:val="ro-MD" w:eastAsia="en-US"/>
              </w:rPr>
            </w:pPr>
            <w:r w:rsidRPr="00A96E09">
              <w:rPr>
                <w:sz w:val="18"/>
                <w:szCs w:val="18"/>
                <w:lang w:val="ro-MD" w:eastAsia="en-US"/>
              </w:rPr>
              <w:t>În sensul prezentului capitol, se aplică următoarele cerinţe:</w:t>
            </w:r>
          </w:p>
          <w:p w14:paraId="2717D5D4" w14:textId="77777777" w:rsidR="00236954" w:rsidRPr="00A96E09" w:rsidRDefault="00236954" w:rsidP="00236954">
            <w:pPr>
              <w:numPr>
                <w:ilvl w:val="1"/>
                <w:numId w:val="34"/>
              </w:numPr>
              <w:tabs>
                <w:tab w:val="left" w:pos="428"/>
                <w:tab w:val="left" w:pos="569"/>
              </w:tabs>
              <w:ind w:left="2" w:firstLine="0"/>
              <w:jc w:val="both"/>
              <w:rPr>
                <w:sz w:val="18"/>
                <w:szCs w:val="18"/>
                <w:lang w:val="ro-MD" w:eastAsia="en-US"/>
              </w:rPr>
            </w:pPr>
            <w:r w:rsidRPr="00A96E09">
              <w:rPr>
                <w:sz w:val="18"/>
                <w:szCs w:val="18"/>
                <w:lang w:val="ro-MD" w:eastAsia="en-US"/>
              </w:rPr>
              <w:t>marja iniţială nu include contribuţiile către o CPC pentru acorduri mutualizate de partajare a pierderilor;</w:t>
            </w:r>
          </w:p>
          <w:p w14:paraId="5872EAF3" w14:textId="77777777" w:rsidR="00236954" w:rsidRPr="00A96E09" w:rsidRDefault="00236954" w:rsidP="00236954">
            <w:pPr>
              <w:numPr>
                <w:ilvl w:val="1"/>
                <w:numId w:val="34"/>
              </w:numPr>
              <w:tabs>
                <w:tab w:val="left" w:pos="428"/>
                <w:tab w:val="left" w:pos="569"/>
              </w:tabs>
              <w:ind w:left="2" w:firstLine="0"/>
              <w:jc w:val="both"/>
              <w:rPr>
                <w:sz w:val="18"/>
                <w:szCs w:val="18"/>
                <w:lang w:val="ro-MD" w:eastAsia="en-US"/>
              </w:rPr>
            </w:pPr>
            <w:r w:rsidRPr="00A96E09">
              <w:rPr>
                <w:sz w:val="18"/>
                <w:szCs w:val="18"/>
                <w:lang w:val="ro-MD" w:eastAsia="en-US"/>
              </w:rPr>
              <w:t xml:space="preserve">marja iniţială include garanţiile reale depuse de bancă care acţionează în calitate de membru compensator sau de client peste suma minimă stabilită de CPC sau de banca care acţionează ca membru compensator, cu condiţia ca respectiva CPC sau banca care acţionează ca membru compensator să poată, în cazurile </w:t>
            </w:r>
            <w:r w:rsidRPr="00A96E09">
              <w:rPr>
                <w:sz w:val="18"/>
                <w:szCs w:val="18"/>
                <w:lang w:val="ro-MD" w:eastAsia="en-US"/>
              </w:rPr>
              <w:lastRenderedPageBreak/>
              <w:t>corespunzătoare, să împiedice banca care acţionează ca membru compensator sau clientul să retragă aceste garanţii reale excedentare;</w:t>
            </w:r>
          </w:p>
          <w:p w14:paraId="0EDF6B1F" w14:textId="77777777" w:rsidR="00236954" w:rsidRDefault="00236954" w:rsidP="00236954">
            <w:pPr>
              <w:numPr>
                <w:ilvl w:val="1"/>
                <w:numId w:val="34"/>
              </w:numPr>
              <w:tabs>
                <w:tab w:val="left" w:pos="569"/>
              </w:tabs>
              <w:ind w:left="2" w:firstLine="0"/>
              <w:jc w:val="both"/>
              <w:rPr>
                <w:sz w:val="18"/>
                <w:szCs w:val="18"/>
                <w:lang w:val="ro-MD" w:eastAsia="en-US"/>
              </w:rPr>
            </w:pPr>
            <w:r w:rsidRPr="00A96E09">
              <w:rPr>
                <w:sz w:val="18"/>
                <w:szCs w:val="18"/>
                <w:lang w:val="ro-MD" w:eastAsia="en-US"/>
              </w:rPr>
              <w:t>în cazul în care o CPC utilizează marja iniţială pentru a mutualiza pierderile în rândul membrilor săi compensatori, băncile care acţionează ca membri compensatori tratează marja iniţială respectivă ca fiind o contribuţie la fondul de garantare.</w:t>
            </w:r>
          </w:p>
          <w:p w14:paraId="33F21F07" w14:textId="77777777" w:rsidR="00236954" w:rsidRDefault="00236954" w:rsidP="00236954">
            <w:pPr>
              <w:tabs>
                <w:tab w:val="left" w:pos="569"/>
              </w:tabs>
              <w:ind w:left="2"/>
              <w:jc w:val="both"/>
              <w:rPr>
                <w:rFonts w:eastAsiaTheme="minorHAnsi"/>
                <w:b/>
                <w:bCs/>
                <w:i/>
                <w:iCs/>
                <w:color w:val="000000"/>
                <w:sz w:val="18"/>
                <w:szCs w:val="18"/>
                <w:lang w:val="ro-RO" w:eastAsia="en-US"/>
                <w14:ligatures w14:val="standardContextual"/>
              </w:rPr>
            </w:pPr>
          </w:p>
          <w:p w14:paraId="56F2B6FA" w14:textId="7AA2004A" w:rsidR="00236954" w:rsidRPr="00A96E09" w:rsidRDefault="00236954" w:rsidP="00236954">
            <w:pPr>
              <w:tabs>
                <w:tab w:val="left" w:pos="569"/>
              </w:tabs>
              <w:ind w:left="2"/>
              <w:jc w:val="both"/>
              <w:rPr>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38628374" w14:textId="0BF96307" w:rsidR="00236954" w:rsidRPr="00A96E09" w:rsidRDefault="00236954" w:rsidP="00236954">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2D3C6D29" w14:textId="77777777" w:rsidR="00236954" w:rsidRPr="00A96E09" w:rsidRDefault="00236954" w:rsidP="00236954">
            <w:pPr>
              <w:jc w:val="both"/>
              <w:rPr>
                <w:sz w:val="18"/>
                <w:szCs w:val="18"/>
                <w:lang w:val="ro-MD"/>
              </w:rPr>
            </w:pPr>
          </w:p>
        </w:tc>
      </w:tr>
      <w:tr w:rsidR="00236954" w:rsidRPr="00A96E09" w14:paraId="0C4D06A0" w14:textId="77777777" w:rsidTr="00C14AF6">
        <w:trPr>
          <w:trHeight w:val="918"/>
        </w:trPr>
        <w:tc>
          <w:tcPr>
            <w:tcW w:w="3866" w:type="dxa"/>
          </w:tcPr>
          <w:p w14:paraId="3F5964CC" w14:textId="0FD62400"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t xml:space="preserve">Articolul 302 </w:t>
            </w:r>
            <w:r w:rsidRPr="00A96E09">
              <w:rPr>
                <w:rFonts w:eastAsiaTheme="minorHAnsi"/>
                <w:b/>
                <w:bCs/>
                <w:color w:val="000000"/>
                <w:sz w:val="18"/>
                <w:szCs w:val="18"/>
                <w:lang w:val="ro-MD" w:eastAsia="en-US"/>
              </w:rPr>
              <w:t xml:space="preserve">Monitorizarea expunerilor la CPC </w:t>
            </w:r>
          </w:p>
          <w:p w14:paraId="637CC5DE"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Instituţiile își monitorizează toate expunerile la CPC și stabilesc proceduri privind raportarea cu regularitate a informaţiilor privind aceste expuneri către conducerea superioară și comitetul sau comitetele adecvate ale organului de conducere. </w:t>
            </w:r>
          </w:p>
          <w:p w14:paraId="76D22502" w14:textId="44BFB4BC" w:rsidR="00236954" w:rsidRPr="00A96E09" w:rsidRDefault="00236954" w:rsidP="00236954">
            <w:pPr>
              <w:pStyle w:val="title-article-norm"/>
              <w:jc w:val="left"/>
              <w:rPr>
                <w:i w:val="0"/>
                <w:sz w:val="18"/>
                <w:szCs w:val="18"/>
                <w:lang w:val="ro-MD"/>
              </w:rPr>
            </w:pPr>
            <w:r w:rsidRPr="00A96E09">
              <w:rPr>
                <w:rFonts w:eastAsiaTheme="minorHAnsi"/>
                <w:i w:val="0"/>
                <w:iCs w:val="0"/>
                <w:color w:val="000000"/>
                <w:sz w:val="18"/>
                <w:szCs w:val="18"/>
                <w:lang w:val="ro-MD"/>
              </w:rPr>
              <w:t>(2) Instituţiile evaluează, prin intermediul unor analize de scenarii și al unor simulări de criză adecvate, dacă nivelul fondurilor proprii deţinute pentru expunerile la o CPC, inclusiv la expunerile din credite viitoare potenţiale sau contingente, expunerile la contribuţiile la fondul de garantare și, în cazul în care instituţia acţionează în calitate de membru compensator, expunerile rezultate din acorduri contractuale, astfel cum sunt prevăzute la articolul 304, este corelat în mod corespunzător cu riscurile inerente ale expunerilor respective.</w:t>
            </w:r>
          </w:p>
        </w:tc>
        <w:tc>
          <w:tcPr>
            <w:tcW w:w="4356" w:type="dxa"/>
          </w:tcPr>
          <w:p w14:paraId="09855708" w14:textId="77777777" w:rsidR="00236954" w:rsidRPr="00A96E09" w:rsidRDefault="00236954" w:rsidP="00236954">
            <w:pPr>
              <w:jc w:val="center"/>
              <w:rPr>
                <w:bCs/>
                <w:i/>
                <w:iCs/>
                <w:sz w:val="18"/>
                <w:szCs w:val="18"/>
                <w:lang w:val="ro-MD"/>
              </w:rPr>
            </w:pPr>
            <w:r w:rsidRPr="00A96E09">
              <w:rPr>
                <w:bCs/>
                <w:i/>
                <w:iCs/>
                <w:sz w:val="18"/>
                <w:szCs w:val="18"/>
                <w:lang w:val="ro-MD"/>
              </w:rPr>
              <w:t>Secţiunea a 2-a</w:t>
            </w:r>
          </w:p>
          <w:p w14:paraId="5B68935D" w14:textId="77777777" w:rsidR="00236954" w:rsidRPr="00A96E09" w:rsidRDefault="00236954" w:rsidP="00236954">
            <w:pPr>
              <w:jc w:val="center"/>
              <w:rPr>
                <w:b/>
                <w:sz w:val="18"/>
                <w:szCs w:val="18"/>
                <w:lang w:val="ro-MD"/>
              </w:rPr>
            </w:pPr>
            <w:r w:rsidRPr="00A96E09">
              <w:rPr>
                <w:b/>
                <w:sz w:val="18"/>
                <w:szCs w:val="18"/>
                <w:lang w:val="ro-MD"/>
              </w:rPr>
              <w:t>Monitorizarea expunerilor la CPC</w:t>
            </w:r>
          </w:p>
          <w:p w14:paraId="71ED4126" w14:textId="77777777" w:rsidR="00236954" w:rsidRPr="00A96E09" w:rsidRDefault="00236954" w:rsidP="00236954">
            <w:pPr>
              <w:numPr>
                <w:ilvl w:val="0"/>
                <w:numId w:val="34"/>
              </w:numPr>
              <w:tabs>
                <w:tab w:val="left" w:pos="428"/>
              </w:tabs>
              <w:ind w:left="0" w:firstLine="0"/>
              <w:jc w:val="both"/>
              <w:rPr>
                <w:sz w:val="18"/>
                <w:szCs w:val="18"/>
                <w:lang w:val="ro-MD"/>
              </w:rPr>
            </w:pPr>
            <w:r w:rsidRPr="00A96E09">
              <w:rPr>
                <w:sz w:val="18"/>
                <w:szCs w:val="18"/>
                <w:lang w:val="ro-MD"/>
              </w:rPr>
              <w:t xml:space="preserve">Băncile își monitorizează toate expunerile la CPC și stabilesc proceduri privind raportarea cu regularitate a informaţiilor privind aceste expuneri către organul de conducere și comitetelor specializate ale consiliului băncii. </w:t>
            </w:r>
          </w:p>
          <w:p w14:paraId="35E934DC" w14:textId="462D176A" w:rsidR="00236954" w:rsidRPr="00A96E09" w:rsidRDefault="00236954" w:rsidP="00236954">
            <w:pPr>
              <w:numPr>
                <w:ilvl w:val="0"/>
                <w:numId w:val="34"/>
              </w:numPr>
              <w:tabs>
                <w:tab w:val="left" w:pos="428"/>
              </w:tabs>
              <w:ind w:left="0" w:firstLine="2"/>
              <w:jc w:val="both"/>
              <w:rPr>
                <w:sz w:val="18"/>
                <w:szCs w:val="18"/>
                <w:lang w:val="ro-MD"/>
              </w:rPr>
            </w:pPr>
            <w:r w:rsidRPr="00A96E09">
              <w:rPr>
                <w:sz w:val="18"/>
                <w:szCs w:val="18"/>
                <w:lang w:val="ro-MD"/>
              </w:rPr>
              <w:t xml:space="preserve">Băncile evaluează, prin intermediul unor analize de scenarii și al unor simulări de criză adecvate, dacă nivelul fondurilor proprii deţinute pentru expunerile la o CPC, inclusiv la expunerile din credite viitoare potenţiale sau contingente, expunerile la contribuţiile la fondul de garantare și, în cazul în care banca acţionează în calitate de membru compensator, expunerile rezultate din acorduri contractuale, astfel cum sunt prevăzute la </w:t>
            </w:r>
            <w:bookmarkStart w:id="52" w:name="_Hlk163075936"/>
            <w:r w:rsidRPr="00A96E09">
              <w:rPr>
                <w:sz w:val="18"/>
                <w:szCs w:val="18"/>
                <w:lang w:val="ro-MD"/>
              </w:rPr>
              <w:t xml:space="preserve">punctele </w:t>
            </w:r>
            <w:bookmarkEnd w:id="52"/>
            <w:r w:rsidRPr="00A96E09">
              <w:rPr>
                <w:sz w:val="18"/>
                <w:szCs w:val="18"/>
                <w:lang w:val="ro-MD"/>
              </w:rPr>
              <w:t>132-139, este corelat în mod corespunzător cu riscurile inerente ale expunerilor respective.</w:t>
            </w:r>
          </w:p>
          <w:p w14:paraId="179D832E" w14:textId="77777777" w:rsidR="00236954" w:rsidRPr="00A96E09" w:rsidRDefault="00236954" w:rsidP="00236954">
            <w:pPr>
              <w:pStyle w:val="CM4"/>
              <w:tabs>
                <w:tab w:val="left" w:pos="150"/>
                <w:tab w:val="left" w:pos="851"/>
              </w:tabs>
              <w:ind w:left="426"/>
              <w:jc w:val="center"/>
              <w:rPr>
                <w:rFonts w:ascii="Times New Roman" w:hAnsi="Times New Roman"/>
                <w:b/>
                <w:iCs/>
                <w:sz w:val="18"/>
                <w:szCs w:val="18"/>
                <w:lang w:val="ro-MD"/>
              </w:rPr>
            </w:pPr>
          </w:p>
          <w:p w14:paraId="10BE4645" w14:textId="77777777" w:rsidR="00236954" w:rsidRPr="00A96E09" w:rsidRDefault="00236954" w:rsidP="00236954">
            <w:pPr>
              <w:pStyle w:val="CM4"/>
              <w:tabs>
                <w:tab w:val="left" w:pos="150"/>
                <w:tab w:val="left" w:pos="851"/>
              </w:tabs>
              <w:ind w:left="426"/>
              <w:jc w:val="center"/>
              <w:rPr>
                <w:rFonts w:ascii="Times New Roman" w:hAnsi="Times New Roman"/>
                <w:b/>
                <w:iCs/>
                <w:sz w:val="18"/>
                <w:szCs w:val="18"/>
                <w:lang w:val="ro-MD"/>
              </w:rPr>
            </w:pPr>
          </w:p>
          <w:p w14:paraId="6E9A6E46" w14:textId="77777777" w:rsidR="00236954" w:rsidRPr="00A96E09" w:rsidRDefault="00236954" w:rsidP="00236954">
            <w:pPr>
              <w:pStyle w:val="CM4"/>
              <w:tabs>
                <w:tab w:val="left" w:pos="150"/>
                <w:tab w:val="left" w:pos="851"/>
              </w:tabs>
              <w:ind w:left="426"/>
              <w:jc w:val="center"/>
              <w:rPr>
                <w:rFonts w:ascii="Times New Roman" w:hAnsi="Times New Roman"/>
                <w:b/>
                <w:iCs/>
                <w:sz w:val="18"/>
                <w:szCs w:val="18"/>
                <w:lang w:val="ro-MD"/>
              </w:rPr>
            </w:pPr>
          </w:p>
          <w:p w14:paraId="35856FE3" w14:textId="77777777" w:rsidR="00236954" w:rsidRPr="00A96E09" w:rsidRDefault="00236954" w:rsidP="00236954">
            <w:pPr>
              <w:pStyle w:val="CM4"/>
              <w:tabs>
                <w:tab w:val="left" w:pos="150"/>
                <w:tab w:val="left" w:pos="851"/>
              </w:tabs>
              <w:ind w:left="426"/>
              <w:jc w:val="center"/>
              <w:rPr>
                <w:rFonts w:ascii="Times New Roman" w:hAnsi="Times New Roman"/>
                <w:b/>
                <w:iCs/>
                <w:sz w:val="18"/>
                <w:szCs w:val="18"/>
                <w:lang w:val="ro-MD"/>
              </w:rPr>
            </w:pPr>
          </w:p>
          <w:p w14:paraId="76E2C079" w14:textId="2AC48302" w:rsidR="00236954" w:rsidRPr="00A96E09" w:rsidRDefault="00236954" w:rsidP="00236954">
            <w:pPr>
              <w:rPr>
                <w:b/>
                <w:b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73FEE0CF" w14:textId="430309ED" w:rsidR="00236954" w:rsidRPr="00A96E09" w:rsidRDefault="00236954" w:rsidP="00236954">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5E92D1FA" w14:textId="77777777" w:rsidR="00236954" w:rsidRPr="00A96E09" w:rsidRDefault="00236954" w:rsidP="00236954">
            <w:pPr>
              <w:jc w:val="both"/>
              <w:rPr>
                <w:sz w:val="18"/>
                <w:szCs w:val="18"/>
                <w:lang w:val="ro-MD"/>
              </w:rPr>
            </w:pPr>
          </w:p>
        </w:tc>
      </w:tr>
      <w:tr w:rsidR="00236954" w:rsidRPr="00A96E09" w14:paraId="1ACCE900" w14:textId="77777777" w:rsidTr="00C14AF6">
        <w:trPr>
          <w:trHeight w:val="918"/>
        </w:trPr>
        <w:tc>
          <w:tcPr>
            <w:tcW w:w="3866" w:type="dxa"/>
          </w:tcPr>
          <w:p w14:paraId="29398530" w14:textId="15BE793E"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t xml:space="preserve">Articolul 303 </w:t>
            </w:r>
            <w:r w:rsidRPr="00A96E09">
              <w:rPr>
                <w:rFonts w:eastAsiaTheme="minorHAnsi"/>
                <w:b/>
                <w:bCs/>
                <w:color w:val="000000"/>
                <w:sz w:val="18"/>
                <w:szCs w:val="18"/>
                <w:lang w:val="ro-MD" w:eastAsia="en-US"/>
              </w:rPr>
              <w:t xml:space="preserve">Tratamentul expunerilor la CPC-uri ale membrilor compensatori </w:t>
            </w:r>
          </w:p>
          <w:p w14:paraId="1EB75B74"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O instituţie care acţionează ca membru compensator, în scopuri proprii sau în calitate de intermediar financiar între un client și o CPC calculează cerinţele de fonduri proprii pentru expunerile sale faţă de o CPC după cum urmează: </w:t>
            </w:r>
          </w:p>
          <w:p w14:paraId="7B3C42E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lastRenderedPageBreak/>
              <w:t xml:space="preserve">(a) aplică tratamentul prevăzut la articolul 306 expunerilor sale din tranzacţii cu respectiva CPC; </w:t>
            </w:r>
          </w:p>
          <w:p w14:paraId="51DEDED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aplică tratamentul prevăzut la articolul 307 contribuţiilor sale la fondul de garantare efectuate către CPC. </w:t>
            </w:r>
          </w:p>
          <w:p w14:paraId="7156EDDB" w14:textId="6E170EE7" w:rsidR="00236954" w:rsidRPr="00A96E09" w:rsidRDefault="00236954" w:rsidP="00236954">
            <w:pPr>
              <w:pStyle w:val="title-article-norm"/>
              <w:jc w:val="left"/>
              <w:rPr>
                <w:i w:val="0"/>
                <w:sz w:val="18"/>
                <w:szCs w:val="18"/>
                <w:lang w:val="ro-MD"/>
              </w:rPr>
            </w:pPr>
            <w:r w:rsidRPr="00A96E09">
              <w:rPr>
                <w:rFonts w:eastAsiaTheme="minorHAnsi"/>
                <w:i w:val="0"/>
                <w:iCs w:val="0"/>
                <w:color w:val="000000"/>
                <w:sz w:val="18"/>
                <w:szCs w:val="18"/>
                <w:lang w:val="ro-MD"/>
              </w:rPr>
              <w:t>(2) În sensul alineatului (1), suma cerinţelor de fonduri proprii ale unei instituţii pentru expunerile sale faţă de o CPCC generate de expunerile din tranzacţii și de contribuţiile la fondul de garantare face obiectul unui plafon egal cu suma cerinţelor de fonduri proprii care s- ar aplica expunerilor respective dacă CPC ar fi o CPC necalificată.</w:t>
            </w:r>
          </w:p>
        </w:tc>
        <w:tc>
          <w:tcPr>
            <w:tcW w:w="4356" w:type="dxa"/>
          </w:tcPr>
          <w:p w14:paraId="05A3B459" w14:textId="77777777" w:rsidR="00236954" w:rsidRPr="00A96E09" w:rsidRDefault="00236954" w:rsidP="00236954">
            <w:pPr>
              <w:jc w:val="center"/>
              <w:rPr>
                <w:bCs/>
                <w:i/>
                <w:iCs/>
                <w:sz w:val="18"/>
                <w:szCs w:val="18"/>
                <w:lang w:val="ro-MD" w:eastAsia="en-US"/>
              </w:rPr>
            </w:pPr>
            <w:bookmarkStart w:id="53" w:name="_Hlk162995624"/>
            <w:r w:rsidRPr="00A96E09">
              <w:rPr>
                <w:bCs/>
                <w:i/>
                <w:iCs/>
                <w:sz w:val="18"/>
                <w:szCs w:val="18"/>
                <w:lang w:val="ro-MD" w:eastAsia="en-US"/>
              </w:rPr>
              <w:lastRenderedPageBreak/>
              <w:t>Secţiunea a 3-a</w:t>
            </w:r>
          </w:p>
          <w:bookmarkEnd w:id="53"/>
          <w:p w14:paraId="744A7AB1" w14:textId="77777777" w:rsidR="00236954" w:rsidRPr="00A96E09" w:rsidRDefault="00236954" w:rsidP="00236954">
            <w:pPr>
              <w:jc w:val="center"/>
              <w:rPr>
                <w:b/>
                <w:sz w:val="18"/>
                <w:szCs w:val="18"/>
                <w:lang w:val="ro-MD" w:eastAsia="en-US"/>
              </w:rPr>
            </w:pPr>
            <w:r w:rsidRPr="00A96E09">
              <w:rPr>
                <w:b/>
                <w:sz w:val="18"/>
                <w:szCs w:val="18"/>
                <w:lang w:val="ro-MD" w:eastAsia="en-US"/>
              </w:rPr>
              <w:t>Tratamentul expunerilor la CPC-uri ale membrilor compensatori</w:t>
            </w:r>
          </w:p>
          <w:p w14:paraId="5D1C8D7C" w14:textId="4BF1CADD" w:rsidR="00236954" w:rsidRPr="00A96E09" w:rsidRDefault="00236954" w:rsidP="00236954">
            <w:pPr>
              <w:tabs>
                <w:tab w:val="left" w:pos="428"/>
              </w:tabs>
              <w:jc w:val="both"/>
              <w:rPr>
                <w:bCs/>
                <w:sz w:val="18"/>
                <w:szCs w:val="18"/>
                <w:lang w:val="ro-MD" w:eastAsia="en-US"/>
              </w:rPr>
            </w:pPr>
            <w:r w:rsidRPr="00A96E09">
              <w:rPr>
                <w:b/>
                <w:sz w:val="18"/>
                <w:szCs w:val="18"/>
                <w:lang w:val="ro-MD" w:eastAsia="en-US"/>
              </w:rPr>
              <w:t>130.</w:t>
            </w:r>
            <w:r w:rsidRPr="00A96E09">
              <w:rPr>
                <w:bCs/>
                <w:sz w:val="18"/>
                <w:szCs w:val="18"/>
                <w:lang w:val="ro-MD" w:eastAsia="en-US"/>
              </w:rPr>
              <w:tab/>
              <w:t>Banca care acţionează ca membru compensator, în scopuri proprii sau în calitate de intermediar financiar între un client și o CPC, calculează cerinţele de fonduri proprii pentru expunerile sale faţă de o CPC după cum urmează:</w:t>
            </w:r>
          </w:p>
          <w:p w14:paraId="2B6CC496" w14:textId="7A053639" w:rsidR="00236954" w:rsidRPr="00A96E09" w:rsidRDefault="00236954" w:rsidP="00236954">
            <w:pPr>
              <w:tabs>
                <w:tab w:val="left" w:pos="569"/>
              </w:tabs>
              <w:jc w:val="both"/>
              <w:rPr>
                <w:bCs/>
                <w:sz w:val="18"/>
                <w:szCs w:val="18"/>
                <w:lang w:val="ro-MD" w:eastAsia="en-US"/>
              </w:rPr>
            </w:pPr>
            <w:r w:rsidRPr="00A96E09">
              <w:rPr>
                <w:bCs/>
                <w:sz w:val="18"/>
                <w:szCs w:val="18"/>
                <w:lang w:val="ro-MD" w:eastAsia="en-US"/>
              </w:rPr>
              <w:lastRenderedPageBreak/>
              <w:t>130.1.</w:t>
            </w:r>
            <w:r w:rsidRPr="00A96E09">
              <w:rPr>
                <w:bCs/>
                <w:sz w:val="18"/>
                <w:szCs w:val="18"/>
                <w:lang w:val="ro-MD" w:eastAsia="en-US"/>
              </w:rPr>
              <w:tab/>
              <w:t>aplică tratamentul prevăzut la punctele 145-148 expunerilor sale din tranzacţii cu respectiva CPC;</w:t>
            </w:r>
          </w:p>
          <w:p w14:paraId="06BE6F9C" w14:textId="13CDB755" w:rsidR="00236954" w:rsidRPr="00A96E09" w:rsidRDefault="00236954" w:rsidP="00236954">
            <w:pPr>
              <w:tabs>
                <w:tab w:val="left" w:pos="569"/>
              </w:tabs>
              <w:jc w:val="both"/>
              <w:rPr>
                <w:bCs/>
                <w:sz w:val="18"/>
                <w:szCs w:val="18"/>
                <w:lang w:val="ro-MD" w:eastAsia="en-US"/>
              </w:rPr>
            </w:pPr>
            <w:r w:rsidRPr="00A96E09">
              <w:rPr>
                <w:bCs/>
                <w:sz w:val="18"/>
                <w:szCs w:val="18"/>
                <w:lang w:val="ro-MD" w:eastAsia="en-US"/>
              </w:rPr>
              <w:t>130.2.</w:t>
            </w:r>
            <w:r w:rsidRPr="00A96E09">
              <w:rPr>
                <w:bCs/>
                <w:sz w:val="18"/>
                <w:szCs w:val="18"/>
                <w:lang w:val="ro-MD" w:eastAsia="en-US"/>
              </w:rPr>
              <w:tab/>
              <w:t>aplică tratamentul prevăzut la punctul 149 contribuţiilor sale la fondul de garantare efectuate către CPC.</w:t>
            </w:r>
          </w:p>
          <w:p w14:paraId="46618E70" w14:textId="77777777" w:rsidR="00236954" w:rsidRDefault="00236954" w:rsidP="00236954">
            <w:pPr>
              <w:tabs>
                <w:tab w:val="left" w:pos="428"/>
              </w:tabs>
              <w:rPr>
                <w:bCs/>
                <w:sz w:val="18"/>
                <w:szCs w:val="18"/>
                <w:lang w:val="ro-MD" w:eastAsia="en-US"/>
              </w:rPr>
            </w:pPr>
            <w:r w:rsidRPr="00A96E09">
              <w:rPr>
                <w:b/>
                <w:sz w:val="18"/>
                <w:szCs w:val="18"/>
                <w:lang w:val="ro-MD" w:eastAsia="en-US"/>
              </w:rPr>
              <w:t>131.</w:t>
            </w:r>
            <w:r w:rsidRPr="00A96E09">
              <w:rPr>
                <w:bCs/>
                <w:sz w:val="18"/>
                <w:szCs w:val="18"/>
                <w:lang w:val="ro-MD" w:eastAsia="en-US"/>
              </w:rPr>
              <w:tab/>
              <w:t>În sensul punctului 130, suma cerinţelor de fonduri proprii ale unei bănci pentru expunerile sale faţă de o CPCC generate de expunerile din tranzacţii și de contribuţiile la fondul de garantare face obiectul unui plafon egal cu suma cerinţelor de fonduri proprii care s</w:t>
            </w:r>
            <w:r>
              <w:rPr>
                <w:bCs/>
                <w:sz w:val="18"/>
                <w:szCs w:val="18"/>
                <w:lang w:val="ro-MD" w:eastAsia="en-US"/>
              </w:rPr>
              <w:t>-a</w:t>
            </w:r>
            <w:r w:rsidRPr="00A96E09">
              <w:rPr>
                <w:bCs/>
                <w:sz w:val="18"/>
                <w:szCs w:val="18"/>
                <w:lang w:val="ro-MD" w:eastAsia="en-US"/>
              </w:rPr>
              <w:t>r aplica expunerilor respective dacă CPC ar fi o CPC necalificată.</w:t>
            </w:r>
          </w:p>
          <w:p w14:paraId="1F73337E" w14:textId="77777777" w:rsidR="00236954" w:rsidRDefault="00236954" w:rsidP="00236954">
            <w:pPr>
              <w:tabs>
                <w:tab w:val="left" w:pos="428"/>
              </w:tabs>
              <w:rPr>
                <w:bCs/>
                <w:sz w:val="18"/>
                <w:szCs w:val="18"/>
                <w:lang w:val="ro-MD" w:eastAsia="en-US"/>
              </w:rPr>
            </w:pPr>
          </w:p>
          <w:p w14:paraId="2EEFD243" w14:textId="27A231EF" w:rsidR="00236954" w:rsidRPr="00A96E09" w:rsidRDefault="00236954" w:rsidP="00236954">
            <w:pPr>
              <w:tabs>
                <w:tab w:val="left" w:pos="428"/>
              </w:tabs>
              <w:rPr>
                <w:b/>
                <w:b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416216CD" w14:textId="3D3E2FD9" w:rsidR="00236954" w:rsidRPr="00A96E09" w:rsidRDefault="00236954" w:rsidP="00236954">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1C83B71B" w14:textId="77777777" w:rsidR="00236954" w:rsidRPr="00A96E09" w:rsidRDefault="00236954" w:rsidP="00236954">
            <w:pPr>
              <w:jc w:val="both"/>
              <w:rPr>
                <w:sz w:val="18"/>
                <w:szCs w:val="18"/>
                <w:lang w:val="ro-MD"/>
              </w:rPr>
            </w:pPr>
          </w:p>
        </w:tc>
      </w:tr>
      <w:tr w:rsidR="00236954" w:rsidRPr="00EB7E01" w14:paraId="4BEFC487" w14:textId="77777777" w:rsidTr="00C14AF6">
        <w:trPr>
          <w:trHeight w:val="918"/>
        </w:trPr>
        <w:tc>
          <w:tcPr>
            <w:tcW w:w="3866" w:type="dxa"/>
          </w:tcPr>
          <w:p w14:paraId="335088CE"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t xml:space="preserve">Articolul 304 </w:t>
            </w:r>
          </w:p>
          <w:p w14:paraId="339D22A0"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b/>
                <w:bCs/>
                <w:color w:val="000000"/>
                <w:sz w:val="18"/>
                <w:szCs w:val="18"/>
                <w:lang w:val="ro-MD" w:eastAsia="en-US"/>
              </w:rPr>
              <w:t xml:space="preserve">Tratamentul expunerilor membrilor compensatori la clienţi </w:t>
            </w:r>
          </w:p>
          <w:p w14:paraId="2E461B2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O instituţie care acţionează ca membru compensator și care, în această calitate, acţionează ca intermediar financiar între un client și o CPC calculează cerinţele de fonduri proprii pentru tranzacţiile sale cu clientul respectiv legate de CPC în conformitate cu secţiunile 1-8 din prezentul capitol, cu capitolul 4 secţiunea 4 din prezentul titlu și cu titlul VI, după caz. </w:t>
            </w:r>
          </w:p>
          <w:p w14:paraId="528CAEDD"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(2) Dacă o instituţie care acţionează ca membru compensator încheie un acord contractual cu un client al unui alt membru compensator care facilitează clientului respectiv, în conformitate cu articolul 48 alineatele (5) și (6) din Regulamentul (UE) nr. 648/2012, transferul poziţiilor și al garanţiilor reale menţionate la articolul 305 alineatul (2) litera (b) din prezentul regulament și dacă respectivul acord contractual antrenează o obligaţie contingentă pentru respectiva instituţie, instituţia poate atribui o valoare a expunerii egală cu zero obligaţiei contingente respective. </w:t>
            </w:r>
          </w:p>
          <w:p w14:paraId="7A1D2C3F"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lastRenderedPageBreak/>
              <w:t xml:space="preserve">(3) În cazul în care o instituţie care acţionează ca membru compensator utilizează metodele prevăzute în secţiunea 3 sau 6 din prezentul capitol pentru a calcula cerinţa de fonduri proprii pentru expunerile sale, se aplică următoarele dispoziţii: </w:t>
            </w:r>
          </w:p>
          <w:p w14:paraId="4C377688"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prin derogare de la articolul 285 alineatul (2), instituţia poate utiliza o perioadă de risc de marjă de cel puţin cinci zile lucrătoare pentru expunerile sale la un client; </w:t>
            </w:r>
          </w:p>
          <w:p w14:paraId="06CB0CD0"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instituţia aplică o perioadă de risc de marjă de cel puţin 10 zile lucrătoare pentru expunerile sale la o CPC; </w:t>
            </w:r>
          </w:p>
          <w:p w14:paraId="36B72D07"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(c) prin derogare de la articolul 285 alineatul (3), în cazul în care un set de compensare inclus în calcul îndeplinește condiţia prevăzută la litera (a) de la alineatul respectiv, instituţia poate să nu ţină seama de limita stabilită la litera respectivă, cu condiţia ca setul de compensare să nu îndeplinească cerinţa prevăzută la litera (b) de la alineatul respectiv și să nu conţină tranzacţii contestate sau opţiuni exotice; </w:t>
            </w:r>
          </w:p>
          <w:p w14:paraId="2C47387D"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 în cazul în care o CPC reţine o marjă de variaţie faţă de o tranzacţie și garanţiile reale ale instituţiei nu sunt protejate în cazul insolvenţei respectivei CPC, instituţia aplică o perioadă de risc de marjă egală cu valoarea cea mai mică dintre un an și scadenţa reziduală a tranzacţiei, cu un prag de 10 zile lucrătoare. </w:t>
            </w:r>
          </w:p>
          <w:p w14:paraId="434EF02C"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(4) Prin derogare de la articolul 281 alineatul (2) litera (i), în cazul în care o instituţie care acţionează ca membru compensator utilizează metoda prevăzută în secţiunea 4 pentru a calcula cerinţa de fonduri proprii aferentă expunerilor sale la un client, instituţia poate utiliza un factor de scadenţă de 0,21 pentru efectuarea calculului. </w:t>
            </w:r>
          </w:p>
          <w:p w14:paraId="46609CE1"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(5) Prin derogare de la articolul 282 alineatul (4) litera (d), în cazul în care o instituţie care acţionează ca membru compensator utilizează </w:t>
            </w:r>
            <w:r w:rsidRPr="00A96E09">
              <w:rPr>
                <w:rFonts w:eastAsiaTheme="minorHAnsi"/>
                <w:color w:val="000000"/>
                <w:sz w:val="18"/>
                <w:szCs w:val="18"/>
                <w:lang w:val="ro-MD" w:eastAsia="en-US"/>
              </w:rPr>
              <w:lastRenderedPageBreak/>
              <w:t xml:space="preserve">metoda prevăzută în secţiunea 5 pentru a calcula cerinţa de fonduri proprii aferentă expunerilor sale la un client, instituţia respectivă poate utiliza un factor de scadenţă de 0,21 la calculul respectiv. </w:t>
            </w:r>
          </w:p>
          <w:p w14:paraId="036F35DD"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(6) O instituţie care acţionează ca membru compensator poate utiliza valoarea redusă a expunerii în caz de nerambursare rezultată din calculele menţionate la alineatele (3), (4) și (5) pentru a-și calcula cerinţele de fonduri proprii pentru riscul CVA în conformitate cu titlul VI. </w:t>
            </w:r>
          </w:p>
          <w:p w14:paraId="5C7215C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(7) O instituţie care acţionează ca membru compensator care colectează garanţii reale de la un client pentru o tranzacţie legată de o CPC și transferă garanţiile reale către CPC poate recunoaște garanţiile respective pentru a-și reduce expunerea la client pentru tranzacţia respectivă legată de CPC. </w:t>
            </w:r>
          </w:p>
          <w:p w14:paraId="1E6F9C82" w14:textId="1FB98F57" w:rsidR="00236954" w:rsidRPr="00A96E09" w:rsidRDefault="00236954" w:rsidP="00236954">
            <w:pPr>
              <w:pStyle w:val="title-article-norm"/>
              <w:jc w:val="left"/>
              <w:rPr>
                <w:i w:val="0"/>
                <w:sz w:val="18"/>
                <w:szCs w:val="18"/>
                <w:lang w:val="ro-MD"/>
              </w:rPr>
            </w:pPr>
            <w:r w:rsidRPr="00A96E09">
              <w:rPr>
                <w:rFonts w:eastAsiaTheme="minorHAnsi"/>
                <w:i w:val="0"/>
                <w:iCs w:val="0"/>
                <w:color w:val="000000"/>
                <w:sz w:val="18"/>
                <w:szCs w:val="18"/>
                <w:lang w:val="ro-MD"/>
              </w:rPr>
              <w:t>În cazul unei structuri a clientelei pe mai multe niveluri, tratamentul prevăzut la primul paragraf poate fi aplicat la fiecare nivel al structurii respective.</w:t>
            </w:r>
          </w:p>
        </w:tc>
        <w:tc>
          <w:tcPr>
            <w:tcW w:w="4356" w:type="dxa"/>
          </w:tcPr>
          <w:p w14:paraId="12D4C7A4" w14:textId="77777777" w:rsidR="00236954" w:rsidRPr="00A96E09" w:rsidRDefault="00236954" w:rsidP="00236954">
            <w:pPr>
              <w:ind w:firstLine="426"/>
              <w:contextualSpacing/>
              <w:jc w:val="center"/>
              <w:rPr>
                <w:bCs/>
                <w:i/>
                <w:iCs/>
                <w:sz w:val="18"/>
                <w:szCs w:val="18"/>
                <w:lang w:val="ro-MD" w:eastAsia="en-US"/>
              </w:rPr>
            </w:pPr>
            <w:r w:rsidRPr="00A96E09">
              <w:rPr>
                <w:bCs/>
                <w:i/>
                <w:iCs/>
                <w:sz w:val="18"/>
                <w:szCs w:val="18"/>
                <w:lang w:val="ro-MD" w:eastAsia="en-US"/>
              </w:rPr>
              <w:lastRenderedPageBreak/>
              <w:t>Secţiunea a 4-a</w:t>
            </w:r>
          </w:p>
          <w:p w14:paraId="07FBA3BE" w14:textId="77777777" w:rsidR="00236954" w:rsidRPr="00A96E09" w:rsidRDefault="00236954" w:rsidP="00236954">
            <w:pPr>
              <w:ind w:firstLine="426"/>
              <w:contextualSpacing/>
              <w:jc w:val="center"/>
              <w:rPr>
                <w:b/>
                <w:sz w:val="18"/>
                <w:szCs w:val="18"/>
                <w:lang w:val="ro-MD" w:eastAsia="en-US"/>
              </w:rPr>
            </w:pPr>
            <w:r w:rsidRPr="00A96E09">
              <w:rPr>
                <w:b/>
                <w:sz w:val="18"/>
                <w:szCs w:val="18"/>
                <w:lang w:val="ro-MD" w:eastAsia="en-US"/>
              </w:rPr>
              <w:t>Tratamentul expunerilor membrilor compensatori la clienţi</w:t>
            </w:r>
          </w:p>
          <w:p w14:paraId="5BC5563C" w14:textId="77777777" w:rsidR="00236954" w:rsidRPr="00A96E09" w:rsidRDefault="00236954" w:rsidP="00236954">
            <w:pPr>
              <w:numPr>
                <w:ilvl w:val="0"/>
                <w:numId w:val="40"/>
              </w:numPr>
              <w:tabs>
                <w:tab w:val="left" w:pos="0"/>
                <w:tab w:val="left" w:pos="419"/>
              </w:tabs>
              <w:spacing w:after="160" w:line="259" w:lineRule="auto"/>
              <w:ind w:left="-12" w:firstLine="12"/>
              <w:contextualSpacing/>
              <w:jc w:val="both"/>
              <w:rPr>
                <w:bCs/>
                <w:sz w:val="18"/>
                <w:szCs w:val="18"/>
                <w:lang w:val="ro-MD" w:eastAsia="en-US"/>
              </w:rPr>
            </w:pPr>
            <w:bookmarkStart w:id="54" w:name="_Ref169674933"/>
            <w:bookmarkStart w:id="55" w:name="_Ref169012067"/>
            <w:r w:rsidRPr="00A96E09">
              <w:rPr>
                <w:bCs/>
                <w:sz w:val="18"/>
                <w:szCs w:val="18"/>
                <w:lang w:val="ro-MD" w:eastAsia="en-US"/>
              </w:rPr>
              <w:t xml:space="preserve">Banca care acţionează ca membru compensator și care, în această calitate, acţionează ca intermediar financiar între un client și o CPC calculează cerinţele de fonduri proprii pentru tranzacţiile sale cu clientul respectiv legate de CPC în conformitate cu </w:t>
            </w:r>
            <w:bookmarkStart w:id="56" w:name="_Hlk163077722"/>
            <w:r w:rsidRPr="00A96E09">
              <w:rPr>
                <w:bCs/>
                <w:sz w:val="18"/>
                <w:szCs w:val="18"/>
                <w:lang w:val="ro-MD" w:eastAsia="en-US"/>
              </w:rPr>
              <w:t>capitolele I - VII</w:t>
            </w:r>
            <w:bookmarkEnd w:id="56"/>
            <w:r w:rsidRPr="00A96E09">
              <w:rPr>
                <w:bCs/>
                <w:sz w:val="18"/>
                <w:szCs w:val="18"/>
                <w:lang w:val="ro-MD" w:eastAsia="en-US"/>
              </w:rPr>
              <w:t>, cu prevederile Regulamentului nr.112/2018 și ale Regulamentului nr.103/2020, după caz.</w:t>
            </w:r>
            <w:bookmarkEnd w:id="54"/>
            <w:bookmarkEnd w:id="55"/>
          </w:p>
          <w:p w14:paraId="3C8A2E10" w14:textId="3939B647" w:rsidR="00236954" w:rsidRPr="00A96E09" w:rsidRDefault="00236954" w:rsidP="00236954">
            <w:pPr>
              <w:numPr>
                <w:ilvl w:val="0"/>
                <w:numId w:val="40"/>
              </w:numPr>
              <w:tabs>
                <w:tab w:val="left" w:pos="428"/>
              </w:tabs>
              <w:spacing w:after="160" w:line="259" w:lineRule="auto"/>
              <w:ind w:left="-12" w:firstLine="12"/>
              <w:contextualSpacing/>
              <w:jc w:val="both"/>
              <w:rPr>
                <w:bCs/>
                <w:sz w:val="18"/>
                <w:szCs w:val="18"/>
                <w:lang w:val="ro-MD" w:eastAsia="en-US"/>
              </w:rPr>
            </w:pPr>
            <w:r w:rsidRPr="00A96E09">
              <w:rPr>
                <w:bCs/>
                <w:sz w:val="18"/>
                <w:szCs w:val="18"/>
                <w:lang w:val="ro-MD" w:eastAsia="en-US"/>
              </w:rPr>
              <w:t xml:space="preserve">Dacă banca care acţionează ca membru compensator încheie un acord contractual cu un client al unui alt membru compensator care facilitează clientul respectiv, transferul poziţiilor și al garanţiilor reale menţionate la punctul 141 subpunctul 141.2. și dacă acordul contractual antrenează o obligaţie contingentă pentru bancă, banca poate atribui o valoare a expunerii egală cu zero obligaţiei contingente respective. </w:t>
            </w:r>
          </w:p>
          <w:p w14:paraId="1C15F5BB" w14:textId="77777777" w:rsidR="00236954" w:rsidRPr="00A96E09" w:rsidRDefault="00236954" w:rsidP="00236954">
            <w:pPr>
              <w:numPr>
                <w:ilvl w:val="0"/>
                <w:numId w:val="40"/>
              </w:numPr>
              <w:tabs>
                <w:tab w:val="left" w:pos="428"/>
              </w:tabs>
              <w:spacing w:after="160" w:line="259" w:lineRule="auto"/>
              <w:ind w:left="0" w:firstLine="0"/>
              <w:contextualSpacing/>
              <w:jc w:val="both"/>
              <w:rPr>
                <w:bCs/>
                <w:sz w:val="18"/>
                <w:szCs w:val="18"/>
                <w:lang w:val="ro-MD" w:eastAsia="en-US"/>
              </w:rPr>
            </w:pPr>
            <w:bookmarkStart w:id="57" w:name="_Ref170198975"/>
            <w:bookmarkStart w:id="58" w:name="_Ref169012075"/>
            <w:r w:rsidRPr="00A96E09">
              <w:rPr>
                <w:bCs/>
                <w:sz w:val="18"/>
                <w:szCs w:val="18"/>
                <w:lang w:val="ro-MD" w:eastAsia="en-US"/>
              </w:rPr>
              <w:t>În cazul în care banca care acţionează ca membru compensator utilizează metodele prevăzute în capitolul III pentru a calcula cerinţa de fonduri proprii pentru expunerile sale, se aplică următoarele dispoziţii:</w:t>
            </w:r>
            <w:bookmarkEnd w:id="57"/>
            <w:bookmarkEnd w:id="58"/>
          </w:p>
          <w:p w14:paraId="1180B937" w14:textId="77777777" w:rsidR="00236954" w:rsidRPr="00A96E09" w:rsidRDefault="00236954" w:rsidP="00236954">
            <w:pPr>
              <w:numPr>
                <w:ilvl w:val="1"/>
                <w:numId w:val="40"/>
              </w:numPr>
              <w:tabs>
                <w:tab w:val="left" w:pos="428"/>
              </w:tabs>
              <w:spacing w:after="160" w:line="259" w:lineRule="auto"/>
              <w:ind w:left="0" w:firstLine="0"/>
              <w:contextualSpacing/>
              <w:jc w:val="both"/>
              <w:rPr>
                <w:bCs/>
                <w:sz w:val="18"/>
                <w:szCs w:val="18"/>
                <w:lang w:val="ro-MD" w:eastAsia="en-US"/>
              </w:rPr>
            </w:pPr>
            <w:bookmarkStart w:id="59" w:name="_Ref169010911"/>
            <w:r w:rsidRPr="00A96E09">
              <w:rPr>
                <w:bCs/>
                <w:sz w:val="18"/>
                <w:szCs w:val="18"/>
                <w:lang w:val="ro-MD" w:eastAsia="en-US"/>
              </w:rPr>
              <w:lastRenderedPageBreak/>
              <w:t>banca poate utiliza o perioadă de risc de marjă de cel puţin cinci zile lucrătoare pentru expunerile sale la un client;</w:t>
            </w:r>
            <w:bookmarkEnd w:id="59"/>
          </w:p>
          <w:p w14:paraId="124E21E4" w14:textId="77777777" w:rsidR="00236954" w:rsidRPr="00A96E09" w:rsidRDefault="00236954" w:rsidP="00236954">
            <w:pPr>
              <w:numPr>
                <w:ilvl w:val="1"/>
                <w:numId w:val="40"/>
              </w:numPr>
              <w:tabs>
                <w:tab w:val="left" w:pos="428"/>
              </w:tabs>
              <w:spacing w:after="160" w:line="259" w:lineRule="auto"/>
              <w:ind w:left="0" w:firstLine="0"/>
              <w:contextualSpacing/>
              <w:jc w:val="both"/>
              <w:rPr>
                <w:bCs/>
                <w:sz w:val="18"/>
                <w:szCs w:val="18"/>
                <w:lang w:val="ro-MD" w:eastAsia="en-US"/>
              </w:rPr>
            </w:pPr>
            <w:bookmarkStart w:id="60" w:name="_Ref169010941"/>
            <w:r w:rsidRPr="00A96E09">
              <w:rPr>
                <w:bCs/>
                <w:sz w:val="18"/>
                <w:szCs w:val="18"/>
                <w:lang w:val="ro-MD" w:eastAsia="en-US"/>
              </w:rPr>
              <w:t>banca aplică o perioadă de risc de marjă de cel puţin 10 zile lucrătoare pentru expunerile sale la o CPC;</w:t>
            </w:r>
            <w:bookmarkEnd w:id="60"/>
          </w:p>
          <w:p w14:paraId="5A76D010" w14:textId="6E5790E6" w:rsidR="00236954" w:rsidRPr="00A96E09" w:rsidRDefault="00236954" w:rsidP="00236954">
            <w:pPr>
              <w:numPr>
                <w:ilvl w:val="1"/>
                <w:numId w:val="40"/>
              </w:numPr>
              <w:tabs>
                <w:tab w:val="left" w:pos="428"/>
              </w:tabs>
              <w:spacing w:after="160" w:line="259" w:lineRule="auto"/>
              <w:ind w:left="0" w:firstLine="0"/>
              <w:contextualSpacing/>
              <w:jc w:val="both"/>
              <w:rPr>
                <w:bCs/>
                <w:sz w:val="18"/>
                <w:szCs w:val="18"/>
                <w:lang w:val="ro-MD" w:eastAsia="en-US"/>
              </w:rPr>
            </w:pPr>
            <w:r w:rsidRPr="00A96E09">
              <w:rPr>
                <w:bCs/>
                <w:sz w:val="18"/>
                <w:szCs w:val="18"/>
                <w:lang w:val="ro-MD" w:eastAsia="en-US"/>
              </w:rPr>
              <w:t>în cazul în care un set de compensare inclus în calcul îndeplinește condiţia prevăzută la subpunctul 134.1., banca poate să nu ţină seama de limita stabilită la punctul respectiv, cu condiţia ca setul de compensare să nu îndeplinească cerinţa prevăzută la subpunctul 134.2. și să nu conţină tranzacţii contestate sau opţiuni exotice;</w:t>
            </w:r>
          </w:p>
          <w:p w14:paraId="1B18E469" w14:textId="77777777" w:rsidR="00236954" w:rsidRPr="00A96E09" w:rsidRDefault="00236954" w:rsidP="00236954">
            <w:pPr>
              <w:numPr>
                <w:ilvl w:val="1"/>
                <w:numId w:val="40"/>
              </w:numPr>
              <w:tabs>
                <w:tab w:val="left" w:pos="428"/>
              </w:tabs>
              <w:spacing w:after="160" w:line="259" w:lineRule="auto"/>
              <w:ind w:left="0" w:firstLine="0"/>
              <w:contextualSpacing/>
              <w:jc w:val="both"/>
              <w:rPr>
                <w:bCs/>
                <w:sz w:val="18"/>
                <w:szCs w:val="18"/>
                <w:lang w:val="ro-MD" w:eastAsia="en-US"/>
              </w:rPr>
            </w:pPr>
            <w:r w:rsidRPr="00A96E09">
              <w:rPr>
                <w:bCs/>
                <w:sz w:val="18"/>
                <w:szCs w:val="18"/>
                <w:lang w:val="ro-MD" w:eastAsia="en-US"/>
              </w:rPr>
              <w:t>în cazul în care o CPC reţine o marjă de variaţie faţă de o tranzacţie și garanţiile reale ale băncii nu sunt protejate în cazul insolvenţei respectivei CPC, banca aplică o perioadă de risc de marjă egală cu valoarea cea mai mică dintre un an și scadenţa reziduală a tranzacţiei, cu un prag de 10 zile lucrătoare.</w:t>
            </w:r>
          </w:p>
          <w:p w14:paraId="24FF4785" w14:textId="4CBA3686" w:rsidR="00236954" w:rsidRPr="00A96E09" w:rsidRDefault="00236954" w:rsidP="00236954">
            <w:pPr>
              <w:numPr>
                <w:ilvl w:val="0"/>
                <w:numId w:val="40"/>
              </w:numPr>
              <w:tabs>
                <w:tab w:val="left" w:pos="428"/>
              </w:tabs>
              <w:spacing w:after="160" w:line="259" w:lineRule="auto"/>
              <w:ind w:left="0" w:firstLine="2"/>
              <w:contextualSpacing/>
              <w:jc w:val="both"/>
              <w:rPr>
                <w:bCs/>
                <w:sz w:val="18"/>
                <w:szCs w:val="18"/>
                <w:lang w:val="ro-MD" w:eastAsia="en-US"/>
              </w:rPr>
            </w:pPr>
            <w:r w:rsidRPr="00A96E09">
              <w:rPr>
                <w:bCs/>
                <w:sz w:val="18"/>
                <w:szCs w:val="18"/>
                <w:lang w:val="ro-MD" w:eastAsia="en-US"/>
              </w:rPr>
              <w:t>Prin derogare de la punctul 100 subpunctul 100.9., în cazul în care banca care acţionează ca membru compensator utilizează metoda prevăzută în capitolul IV pentru a calcula cerinţa de fonduri proprii aferentă expunerilor sale la un client, aceasta poate utiliza un factor de scadenţă de 0,21 pentru efectuarea calculului.</w:t>
            </w:r>
          </w:p>
          <w:p w14:paraId="706775B5" w14:textId="337C0199" w:rsidR="00236954" w:rsidRPr="00A96E09" w:rsidRDefault="00236954" w:rsidP="00236954">
            <w:pPr>
              <w:numPr>
                <w:ilvl w:val="0"/>
                <w:numId w:val="40"/>
              </w:numPr>
              <w:tabs>
                <w:tab w:val="left" w:pos="428"/>
              </w:tabs>
              <w:spacing w:after="160" w:line="259" w:lineRule="auto"/>
              <w:ind w:left="0" w:firstLine="0"/>
              <w:contextualSpacing/>
              <w:jc w:val="both"/>
              <w:rPr>
                <w:bCs/>
                <w:sz w:val="18"/>
                <w:szCs w:val="18"/>
                <w:lang w:val="ro-MD" w:eastAsia="en-US"/>
              </w:rPr>
            </w:pPr>
            <w:bookmarkStart w:id="61" w:name="_Ref170198985"/>
            <w:r w:rsidRPr="00A96E09">
              <w:rPr>
                <w:bCs/>
                <w:sz w:val="18"/>
                <w:szCs w:val="18"/>
                <w:lang w:val="ro-MD" w:eastAsia="en-US"/>
              </w:rPr>
              <w:t>Prin derogare de la punctul 104 subpunctul 104.4</w:t>
            </w:r>
            <w:r>
              <w:rPr>
                <w:bCs/>
                <w:sz w:val="18"/>
                <w:szCs w:val="18"/>
                <w:lang w:val="ro-MD" w:eastAsia="en-US"/>
              </w:rPr>
              <w:t>.</w:t>
            </w:r>
            <w:r w:rsidRPr="00A96E09">
              <w:rPr>
                <w:bCs/>
                <w:sz w:val="18"/>
                <w:szCs w:val="18"/>
                <w:lang w:val="ro-MD" w:eastAsia="en-US"/>
              </w:rPr>
              <w:t>, în cazul în care banca care acţionează ca membru compensator utilizează metoda prevăzută în capitolul V pentru a calcula cerinţa de fonduri proprii aferentă expunerilor sale la un client, aceasta poate utiliza un factor de scadenţă de 0,21 la calculul respectiv.</w:t>
            </w:r>
            <w:bookmarkEnd w:id="61"/>
          </w:p>
          <w:p w14:paraId="4C1B8A07" w14:textId="0219289B" w:rsidR="00236954" w:rsidRPr="00A96E09" w:rsidRDefault="00236954" w:rsidP="00236954">
            <w:pPr>
              <w:numPr>
                <w:ilvl w:val="0"/>
                <w:numId w:val="40"/>
              </w:numPr>
              <w:tabs>
                <w:tab w:val="left" w:pos="428"/>
              </w:tabs>
              <w:spacing w:after="160" w:line="259" w:lineRule="auto"/>
              <w:ind w:left="0" w:firstLine="0"/>
              <w:contextualSpacing/>
              <w:jc w:val="both"/>
              <w:rPr>
                <w:bCs/>
                <w:sz w:val="18"/>
                <w:szCs w:val="18"/>
                <w:lang w:val="ro-MD" w:eastAsia="en-US"/>
              </w:rPr>
            </w:pPr>
            <w:r w:rsidRPr="00A96E09">
              <w:rPr>
                <w:bCs/>
                <w:sz w:val="18"/>
                <w:szCs w:val="18"/>
                <w:lang w:val="ro-MD" w:eastAsia="en-US"/>
              </w:rPr>
              <w:t>Banca care acţionează ca membru compensator poate utiliza valoarea redusă a expunerii în caz de nerambursare rezultată din calculele menţionate la punctele 134-136 pentru a-și calcula cerinţele de fonduri proprii pentru riscul CVA în conformitate cu Regulamentul nr.103/2020.</w:t>
            </w:r>
          </w:p>
          <w:p w14:paraId="578B1053" w14:textId="77777777" w:rsidR="00236954" w:rsidRPr="00A96E09" w:rsidRDefault="00236954" w:rsidP="00236954">
            <w:pPr>
              <w:numPr>
                <w:ilvl w:val="0"/>
                <w:numId w:val="40"/>
              </w:numPr>
              <w:tabs>
                <w:tab w:val="left" w:pos="428"/>
              </w:tabs>
              <w:spacing w:after="160" w:line="259" w:lineRule="auto"/>
              <w:ind w:left="0" w:firstLine="0"/>
              <w:contextualSpacing/>
              <w:jc w:val="both"/>
              <w:rPr>
                <w:bCs/>
                <w:sz w:val="18"/>
                <w:szCs w:val="18"/>
                <w:lang w:val="ro-MD" w:eastAsia="en-US"/>
              </w:rPr>
            </w:pPr>
            <w:bookmarkStart w:id="62" w:name="_Ref169674943"/>
            <w:r w:rsidRPr="00A96E09">
              <w:rPr>
                <w:bCs/>
                <w:sz w:val="18"/>
                <w:szCs w:val="18"/>
                <w:lang w:val="ro-MD" w:eastAsia="en-US"/>
              </w:rPr>
              <w:t xml:space="preserve">Banca care acţionează ca membru compensator care colectează garanţii reale de la un client pentru o tranzacţie legată de o CPC și transferă garanţiile reale către CPC </w:t>
            </w:r>
            <w:r w:rsidRPr="00A96E09">
              <w:rPr>
                <w:bCs/>
                <w:sz w:val="18"/>
                <w:szCs w:val="18"/>
                <w:lang w:val="ro-MD" w:eastAsia="en-US"/>
              </w:rPr>
              <w:lastRenderedPageBreak/>
              <w:t>poate recunoaște garanţiile respective pentru a-și reduce expunerea la client pentru tranzacţia respectivă legată de CPC.</w:t>
            </w:r>
            <w:bookmarkEnd w:id="62"/>
            <w:r w:rsidRPr="00A96E09">
              <w:rPr>
                <w:bCs/>
                <w:sz w:val="18"/>
                <w:szCs w:val="18"/>
                <w:lang w:val="ro-MD" w:eastAsia="en-US"/>
              </w:rPr>
              <w:t xml:space="preserve"> </w:t>
            </w:r>
          </w:p>
          <w:p w14:paraId="7598BD70" w14:textId="77777777" w:rsidR="00236954" w:rsidRDefault="00236954" w:rsidP="00236954">
            <w:pPr>
              <w:tabs>
                <w:tab w:val="left" w:pos="428"/>
              </w:tabs>
              <w:contextualSpacing/>
              <w:jc w:val="both"/>
              <w:rPr>
                <w:bCs/>
                <w:sz w:val="18"/>
                <w:szCs w:val="18"/>
                <w:lang w:val="ro-MD" w:eastAsia="en-US"/>
              </w:rPr>
            </w:pPr>
            <w:r w:rsidRPr="00A96E09">
              <w:rPr>
                <w:b/>
                <w:sz w:val="18"/>
                <w:szCs w:val="18"/>
                <w:lang w:val="ro-MD" w:eastAsia="en-US"/>
              </w:rPr>
              <w:t>139.</w:t>
            </w:r>
            <w:r w:rsidRPr="00A96E09">
              <w:rPr>
                <w:bCs/>
                <w:sz w:val="18"/>
                <w:szCs w:val="18"/>
                <w:lang w:val="ro-MD" w:eastAsia="en-US"/>
              </w:rPr>
              <w:t xml:space="preserve"> În cazul unei structuri a clientelei pe mai multe niveluri, tratamentul prevăzut la punctul 138 poate fi aplicat la fiecare nivel al structurii respective.</w:t>
            </w:r>
          </w:p>
          <w:p w14:paraId="7B992FFC" w14:textId="77777777" w:rsidR="00236954" w:rsidRDefault="00236954" w:rsidP="00236954">
            <w:pPr>
              <w:tabs>
                <w:tab w:val="left" w:pos="428"/>
              </w:tabs>
              <w:contextualSpacing/>
              <w:jc w:val="both"/>
              <w:rPr>
                <w:bCs/>
                <w:sz w:val="18"/>
                <w:szCs w:val="18"/>
                <w:lang w:val="ro-MD" w:eastAsia="en-US"/>
              </w:rPr>
            </w:pPr>
          </w:p>
          <w:p w14:paraId="3751EED8" w14:textId="77777777" w:rsidR="00236954" w:rsidRDefault="00236954" w:rsidP="00236954">
            <w:pPr>
              <w:tabs>
                <w:tab w:val="left" w:pos="428"/>
              </w:tabs>
              <w:contextualSpacing/>
              <w:jc w:val="both"/>
              <w:rPr>
                <w:bCs/>
                <w:sz w:val="18"/>
                <w:szCs w:val="18"/>
                <w:lang w:val="ro-MD" w:eastAsia="en-US"/>
              </w:rPr>
            </w:pPr>
          </w:p>
          <w:p w14:paraId="302A6F80" w14:textId="77777777" w:rsidR="00236954" w:rsidRDefault="00236954" w:rsidP="00236954">
            <w:pPr>
              <w:tabs>
                <w:tab w:val="left" w:pos="428"/>
              </w:tabs>
              <w:contextualSpacing/>
              <w:jc w:val="both"/>
              <w:rPr>
                <w:bCs/>
                <w:sz w:val="18"/>
                <w:szCs w:val="18"/>
                <w:lang w:val="ro-MD" w:eastAsia="en-US"/>
              </w:rPr>
            </w:pPr>
          </w:p>
          <w:p w14:paraId="2B176276" w14:textId="77777777" w:rsidR="00236954" w:rsidRDefault="00236954" w:rsidP="00236954">
            <w:pPr>
              <w:tabs>
                <w:tab w:val="left" w:pos="428"/>
              </w:tabs>
              <w:contextualSpacing/>
              <w:jc w:val="both"/>
              <w:rPr>
                <w:bCs/>
                <w:sz w:val="18"/>
                <w:szCs w:val="18"/>
                <w:lang w:val="ro-MD" w:eastAsia="en-US"/>
              </w:rPr>
            </w:pPr>
          </w:p>
          <w:p w14:paraId="34956662" w14:textId="77777777" w:rsidR="00236954" w:rsidRDefault="00236954" w:rsidP="00236954">
            <w:pPr>
              <w:tabs>
                <w:tab w:val="left" w:pos="428"/>
              </w:tabs>
              <w:contextualSpacing/>
              <w:jc w:val="both"/>
              <w:rPr>
                <w:bCs/>
                <w:sz w:val="18"/>
                <w:szCs w:val="18"/>
                <w:lang w:val="ro-MD" w:eastAsia="en-US"/>
              </w:rPr>
            </w:pPr>
          </w:p>
          <w:p w14:paraId="38E7890B" w14:textId="77777777" w:rsidR="00236954" w:rsidRDefault="00236954" w:rsidP="00236954">
            <w:pPr>
              <w:tabs>
                <w:tab w:val="left" w:pos="428"/>
              </w:tabs>
              <w:contextualSpacing/>
              <w:jc w:val="both"/>
              <w:rPr>
                <w:bCs/>
                <w:sz w:val="18"/>
                <w:szCs w:val="18"/>
                <w:lang w:val="ro-MD" w:eastAsia="en-US"/>
              </w:rPr>
            </w:pPr>
          </w:p>
          <w:p w14:paraId="6B8833EB" w14:textId="77777777" w:rsidR="00236954" w:rsidRDefault="00236954" w:rsidP="00236954">
            <w:pPr>
              <w:tabs>
                <w:tab w:val="left" w:pos="428"/>
              </w:tabs>
              <w:contextualSpacing/>
              <w:jc w:val="both"/>
              <w:rPr>
                <w:bCs/>
                <w:sz w:val="18"/>
                <w:szCs w:val="18"/>
                <w:lang w:val="ro-MD" w:eastAsia="en-US"/>
              </w:rPr>
            </w:pPr>
          </w:p>
          <w:p w14:paraId="2CE93942" w14:textId="77777777" w:rsidR="00236954" w:rsidRDefault="00236954" w:rsidP="00236954">
            <w:pPr>
              <w:tabs>
                <w:tab w:val="left" w:pos="428"/>
              </w:tabs>
              <w:contextualSpacing/>
              <w:jc w:val="both"/>
              <w:rPr>
                <w:bCs/>
                <w:sz w:val="18"/>
                <w:szCs w:val="18"/>
                <w:lang w:val="ro-MD" w:eastAsia="en-US"/>
              </w:rPr>
            </w:pPr>
          </w:p>
          <w:p w14:paraId="46D2E598" w14:textId="77777777" w:rsidR="00236954" w:rsidRDefault="00236954" w:rsidP="00236954">
            <w:pPr>
              <w:tabs>
                <w:tab w:val="left" w:pos="428"/>
              </w:tabs>
              <w:contextualSpacing/>
              <w:jc w:val="both"/>
              <w:rPr>
                <w:bCs/>
                <w:sz w:val="18"/>
                <w:szCs w:val="18"/>
                <w:lang w:val="ro-MD" w:eastAsia="en-US"/>
              </w:rPr>
            </w:pPr>
          </w:p>
          <w:p w14:paraId="6D7019E2" w14:textId="77777777" w:rsidR="00236954" w:rsidRDefault="00236954" w:rsidP="00236954">
            <w:pPr>
              <w:tabs>
                <w:tab w:val="left" w:pos="428"/>
              </w:tabs>
              <w:contextualSpacing/>
              <w:jc w:val="both"/>
              <w:rPr>
                <w:bCs/>
                <w:sz w:val="18"/>
                <w:szCs w:val="18"/>
                <w:lang w:val="ro-MD" w:eastAsia="en-US"/>
              </w:rPr>
            </w:pPr>
          </w:p>
          <w:p w14:paraId="42FC9227" w14:textId="77777777" w:rsidR="00236954" w:rsidRDefault="00236954" w:rsidP="00236954">
            <w:pPr>
              <w:tabs>
                <w:tab w:val="left" w:pos="428"/>
              </w:tabs>
              <w:contextualSpacing/>
              <w:jc w:val="both"/>
              <w:rPr>
                <w:bCs/>
                <w:sz w:val="18"/>
                <w:szCs w:val="18"/>
                <w:lang w:val="ro-MD" w:eastAsia="en-US"/>
              </w:rPr>
            </w:pPr>
          </w:p>
          <w:p w14:paraId="37AF7B18" w14:textId="77777777" w:rsidR="00236954" w:rsidRDefault="00236954" w:rsidP="00236954">
            <w:pPr>
              <w:tabs>
                <w:tab w:val="left" w:pos="428"/>
              </w:tabs>
              <w:contextualSpacing/>
              <w:jc w:val="both"/>
              <w:rPr>
                <w:bCs/>
                <w:sz w:val="18"/>
                <w:szCs w:val="18"/>
                <w:lang w:val="ro-MD" w:eastAsia="en-US"/>
              </w:rPr>
            </w:pPr>
          </w:p>
          <w:p w14:paraId="6A035A9F" w14:textId="77777777" w:rsidR="00236954" w:rsidRDefault="00236954" w:rsidP="00236954">
            <w:pPr>
              <w:tabs>
                <w:tab w:val="left" w:pos="428"/>
              </w:tabs>
              <w:contextualSpacing/>
              <w:jc w:val="both"/>
              <w:rPr>
                <w:bCs/>
                <w:sz w:val="18"/>
                <w:szCs w:val="18"/>
                <w:lang w:val="ro-MD" w:eastAsia="en-US"/>
              </w:rPr>
            </w:pPr>
          </w:p>
          <w:p w14:paraId="4A73EC5A" w14:textId="77777777" w:rsidR="00236954" w:rsidRDefault="00236954" w:rsidP="00236954">
            <w:pPr>
              <w:tabs>
                <w:tab w:val="left" w:pos="428"/>
              </w:tabs>
              <w:contextualSpacing/>
              <w:jc w:val="both"/>
              <w:rPr>
                <w:bCs/>
                <w:sz w:val="18"/>
                <w:szCs w:val="18"/>
                <w:lang w:val="ro-MD" w:eastAsia="en-US"/>
              </w:rPr>
            </w:pPr>
          </w:p>
          <w:p w14:paraId="7A4F6818" w14:textId="77777777" w:rsidR="00236954" w:rsidRDefault="00236954" w:rsidP="00236954">
            <w:pPr>
              <w:tabs>
                <w:tab w:val="left" w:pos="428"/>
              </w:tabs>
              <w:contextualSpacing/>
              <w:jc w:val="both"/>
              <w:rPr>
                <w:bCs/>
                <w:sz w:val="18"/>
                <w:szCs w:val="18"/>
                <w:lang w:val="ro-MD" w:eastAsia="en-US"/>
              </w:rPr>
            </w:pPr>
          </w:p>
          <w:p w14:paraId="4F4C2622" w14:textId="77777777" w:rsidR="00236954" w:rsidRDefault="00236954" w:rsidP="00236954">
            <w:pPr>
              <w:tabs>
                <w:tab w:val="left" w:pos="428"/>
              </w:tabs>
              <w:contextualSpacing/>
              <w:jc w:val="both"/>
              <w:rPr>
                <w:bCs/>
                <w:sz w:val="18"/>
                <w:szCs w:val="18"/>
                <w:lang w:val="ro-MD" w:eastAsia="en-US"/>
              </w:rPr>
            </w:pPr>
          </w:p>
          <w:p w14:paraId="6E997244" w14:textId="77777777" w:rsidR="00236954" w:rsidRDefault="00236954" w:rsidP="00236954">
            <w:pPr>
              <w:tabs>
                <w:tab w:val="left" w:pos="428"/>
              </w:tabs>
              <w:contextualSpacing/>
              <w:jc w:val="both"/>
              <w:rPr>
                <w:bCs/>
                <w:sz w:val="18"/>
                <w:szCs w:val="18"/>
                <w:lang w:val="ro-MD" w:eastAsia="en-US"/>
              </w:rPr>
            </w:pPr>
          </w:p>
          <w:p w14:paraId="3AD3D9CE" w14:textId="53595B60" w:rsidR="00236954" w:rsidRPr="00A96E09" w:rsidRDefault="00236954" w:rsidP="00236954">
            <w:pPr>
              <w:tabs>
                <w:tab w:val="left" w:pos="428"/>
              </w:tabs>
              <w:contextualSpacing/>
              <w:jc w:val="both"/>
              <w:rPr>
                <w:b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6C577E9D" w14:textId="43BD68EC" w:rsidR="00236954" w:rsidRPr="00A96E09" w:rsidRDefault="00236954" w:rsidP="00236954">
            <w:pPr>
              <w:jc w:val="both"/>
              <w:rPr>
                <w:sz w:val="18"/>
                <w:szCs w:val="18"/>
                <w:lang w:val="ro-MD"/>
              </w:rPr>
            </w:pPr>
            <w:r w:rsidRPr="00A96E09">
              <w:rPr>
                <w:sz w:val="18"/>
                <w:szCs w:val="18"/>
                <w:lang w:val="ro-MD"/>
              </w:rPr>
              <w:lastRenderedPageBreak/>
              <w:t>Parțial compatibil</w:t>
            </w:r>
          </w:p>
        </w:tc>
        <w:tc>
          <w:tcPr>
            <w:tcW w:w="4683" w:type="dxa"/>
            <w:tcBorders>
              <w:top w:val="single" w:sz="4" w:space="0" w:color="auto"/>
              <w:bottom w:val="single" w:sz="4" w:space="0" w:color="auto"/>
            </w:tcBorders>
          </w:tcPr>
          <w:p w14:paraId="09F55EC3" w14:textId="4327E9DD" w:rsidR="00236954" w:rsidRPr="00A96E09" w:rsidRDefault="00236954" w:rsidP="00236954">
            <w:pPr>
              <w:jc w:val="both"/>
              <w:rPr>
                <w:sz w:val="18"/>
                <w:szCs w:val="18"/>
                <w:lang w:val="en-US"/>
              </w:rPr>
            </w:pPr>
            <w:r w:rsidRPr="00A96E09">
              <w:rPr>
                <w:rStyle w:val="cf01"/>
                <w:rFonts w:ascii="Times New Roman" w:hAnsi="Times New Roman" w:cs="Times New Roman"/>
                <w:lang w:val="en-US"/>
              </w:rPr>
              <w:t xml:space="preserve">Trimiterea la articolul 48 alineatele (5) și (6) din Regulamentul (UE) nr. 648/2012, care reglementează transferul pozițiilor și garanțiilor în cazul insolvenței unui membru compensator, va fi transpusă </w:t>
            </w:r>
            <w:r w:rsidRPr="00A96E09">
              <w:rPr>
                <w:sz w:val="18"/>
                <w:szCs w:val="18"/>
                <w:lang w:val="en-US"/>
              </w:rPr>
              <w:t>la etapa transpunerii Regulamentului (UE) nr.648/2012.</w:t>
            </w:r>
          </w:p>
        </w:tc>
      </w:tr>
      <w:tr w:rsidR="00236954" w:rsidRPr="00A96E09" w14:paraId="763C5130" w14:textId="77777777" w:rsidTr="00C14AF6">
        <w:trPr>
          <w:trHeight w:val="918"/>
        </w:trPr>
        <w:tc>
          <w:tcPr>
            <w:tcW w:w="3866" w:type="dxa"/>
          </w:tcPr>
          <w:p w14:paraId="0E5BA0DF" w14:textId="19937871"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305 </w:t>
            </w:r>
            <w:r w:rsidRPr="00A96E09">
              <w:rPr>
                <w:rFonts w:eastAsiaTheme="minorHAnsi"/>
                <w:b/>
                <w:bCs/>
                <w:color w:val="000000"/>
                <w:sz w:val="18"/>
                <w:szCs w:val="18"/>
                <w:lang w:val="ro-MD" w:eastAsia="en-US"/>
              </w:rPr>
              <w:t xml:space="preserve">Tratamentul expunerilor clienţilor </w:t>
            </w:r>
          </w:p>
          <w:p w14:paraId="6C373485"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O instituţie care este client calculează cerinţele de fonduri proprii pentru tranzacţiile sale legate de o CPC cu membrul său compensator în conformitate cu secţiunile 1-8 din prezentul capitol, cu capitolul 4 secţiunea 4 din prezentul titlu și cu titlul VI, după caz. </w:t>
            </w:r>
          </w:p>
          <w:p w14:paraId="1CE6C44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(2) Fără a aduce atingere abordării prevăzute la alineatul (1), în cazul în care o instituţie este client, aceasta poate calcula cerinţele de fonduri proprii pentru expunerile sale din tranzacţii în cazul tranzacţiilor cu membrul compensator legate </w:t>
            </w:r>
            <w:r w:rsidRPr="00A96E09">
              <w:rPr>
                <w:rFonts w:eastAsiaTheme="minorHAnsi"/>
                <w:color w:val="000000"/>
                <w:sz w:val="18"/>
                <w:szCs w:val="18"/>
                <w:lang w:val="ro-MD" w:eastAsia="en-US"/>
              </w:rPr>
              <w:lastRenderedPageBreak/>
              <w:t xml:space="preserve">de CPC în conformitate cu articolul 306, dacă sunt îndeplinite cumulativ următoarele condiţii: </w:t>
            </w:r>
          </w:p>
          <w:p w14:paraId="5C04E2A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poziţiile și activele instituţiei legate de tranzacţiile în cauză sunt distinse și separate, atât la nivelul membrului compensator, cât și al CPC, de poziţiile și activele membrului compensator și ale celorlalţi clienţi ai membrului compensator și, ca urmare a acestei distincţii și separări, poziţiile și activele respective ale instituţiei sunt indisponibile în cazul în care membrul compensator ori unul sau mai mulţi dintre clienţii săi intră în stare de nerambursare sau în insolvenţă; </w:t>
            </w:r>
          </w:p>
          <w:p w14:paraId="427750F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legislaţia, reglementările și normele, precum și acordurile contractuale aplicabile instituţiei sau CPC ori obligatorii pentru acestea facilitează transferul poziţiilor clientului legate de contractele și de tranzacţiile în cauză și al garanţiilor reale aferente către un alt membru compensator în perioada de risc de marjă aplicabilă, în cazul în care membrul compensator iniţial intră în stare de nerambursare sau în insolvenţă. În această situaţie, poziţiile clientului și garanţiile reale se transferă la valoarea de piaţă, cu excepţia cazului în care clientul solicită închiderea poziţiei la valoarea de piaţă; </w:t>
            </w:r>
          </w:p>
          <w:p w14:paraId="7669238F"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(c) clientul a efectuat și a menţinut la zi o analiză juridică suficient de aprofundată, care demonstrează că modalităţile prin care se asigură îndeplinirea condiţiei prevăzute la litera (b) sunt legale, valabile, obligatorii și executorii din punct de vedere juridic în temeiul legislaţiei relevante ale jurisdicţiei sau jurisdicţiilor relevante; </w:t>
            </w:r>
          </w:p>
          <w:p w14:paraId="3A862860"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 CPC este o CPCC. </w:t>
            </w:r>
          </w:p>
          <w:p w14:paraId="47C7B56E"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Atunci când o instituţie evaluează dacă respectă condiţia prevăzută la primul paragraf litera (b), aceasta poate lua în considerare orice precedent clar în materie de transferuri ale poziţiilor clienţilor și ale garanţiilor reale corespunzătoare la </w:t>
            </w:r>
            <w:r w:rsidRPr="00A96E09">
              <w:rPr>
                <w:rFonts w:eastAsiaTheme="minorHAnsi"/>
                <w:color w:val="000000"/>
                <w:sz w:val="18"/>
                <w:szCs w:val="18"/>
                <w:lang w:val="ro-MD" w:eastAsia="en-US"/>
              </w:rPr>
              <w:lastRenderedPageBreak/>
              <w:t xml:space="preserve">nivelul unei CPC, precum și orice intenţie din partea sectorului de a continua această practică. </w:t>
            </w:r>
          </w:p>
          <w:p w14:paraId="53880C8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(3) Prin derogare de la alineatul (2) din prezentul articol, în cazul în care o instituţie care este client nu îndeplinește condiţia prevăzută la litera (a) de la alineatul menţionat deoarece nu este protejată de pierderi în situaţia în care membrul compensator și un alt client al membrului compensator intră împreună în stare de nerambursare, sub rezerva îndeplinirii tuturor celelalte condiţii prevăzute la literele (a)-(d) de la alineatul menţionat sunt îndeplinite, instituţia poate calcula cerinţele de fonduri proprii pentru expunerile sale din tranzacţii în cazul tranzacţiilor cu membrul său compensator legate de o CPC în conformitate cu articolul 306, sub rezerva înlocuirii ponderii de risc de 2 % prevăzute la articolul 306 alineatul (1) litera (a) cu o pondere de risc de 4 %. </w:t>
            </w:r>
          </w:p>
          <w:p w14:paraId="7A6559A1" w14:textId="2555B9DD"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r w:rsidRPr="00A96E09">
              <w:rPr>
                <w:rFonts w:eastAsiaTheme="minorHAnsi"/>
                <w:color w:val="000000"/>
                <w:sz w:val="18"/>
                <w:szCs w:val="18"/>
                <w:lang w:val="ro-MD"/>
              </w:rPr>
              <w:t xml:space="preserve">(4) În cazul unei structuri a clientelei pe mai multe niveluri, o instituţie care este client de nivel inferior și care accesează serviciile unei CPC prin intermediul unui client de nivel superior poate aplica tratamentul menţionat la alineatul (2) sau (3) numai în cazul în care condiţiile prevăzute la alineatele respective sunt îndeplinite la fiecare nivel al structurii în cauză. </w:t>
            </w:r>
          </w:p>
        </w:tc>
        <w:tc>
          <w:tcPr>
            <w:tcW w:w="4356" w:type="dxa"/>
          </w:tcPr>
          <w:p w14:paraId="4943E63E" w14:textId="77777777" w:rsidR="00236954" w:rsidRPr="00A96E09" w:rsidRDefault="00236954" w:rsidP="00236954">
            <w:pPr>
              <w:tabs>
                <w:tab w:val="left" w:pos="0"/>
                <w:tab w:val="left" w:pos="144"/>
              </w:tabs>
              <w:contextualSpacing/>
              <w:jc w:val="center"/>
              <w:rPr>
                <w:bCs/>
                <w:i/>
                <w:iCs/>
                <w:sz w:val="18"/>
                <w:szCs w:val="18"/>
                <w:lang w:val="ro-MD" w:eastAsia="en-US"/>
              </w:rPr>
            </w:pPr>
            <w:bookmarkStart w:id="63" w:name="_Hlk162996977"/>
            <w:r w:rsidRPr="00A96E09">
              <w:rPr>
                <w:bCs/>
                <w:i/>
                <w:iCs/>
                <w:sz w:val="18"/>
                <w:szCs w:val="18"/>
                <w:lang w:val="ro-MD" w:eastAsia="en-US"/>
              </w:rPr>
              <w:lastRenderedPageBreak/>
              <w:t>Secţiunea a 5-a</w:t>
            </w:r>
          </w:p>
          <w:bookmarkEnd w:id="63"/>
          <w:p w14:paraId="4CE4C099" w14:textId="77777777" w:rsidR="00236954" w:rsidRPr="00A96E09" w:rsidRDefault="00236954" w:rsidP="00236954">
            <w:pPr>
              <w:tabs>
                <w:tab w:val="left" w:pos="0"/>
                <w:tab w:val="left" w:pos="144"/>
              </w:tabs>
              <w:contextualSpacing/>
              <w:jc w:val="center"/>
              <w:rPr>
                <w:b/>
                <w:sz w:val="18"/>
                <w:szCs w:val="18"/>
                <w:lang w:val="ro-MD" w:eastAsia="en-US"/>
              </w:rPr>
            </w:pPr>
            <w:r w:rsidRPr="00A96E09">
              <w:rPr>
                <w:b/>
                <w:sz w:val="18"/>
                <w:szCs w:val="18"/>
                <w:lang w:val="ro-MD" w:eastAsia="en-US"/>
              </w:rPr>
              <w:t>Tratamentul expunerilor clienţilor</w:t>
            </w:r>
          </w:p>
          <w:p w14:paraId="7EBD92E2" w14:textId="4CD1E3C8" w:rsidR="00236954" w:rsidRPr="00A96E09" w:rsidRDefault="00236954" w:rsidP="00236954">
            <w:pPr>
              <w:numPr>
                <w:ilvl w:val="0"/>
                <w:numId w:val="37"/>
              </w:numPr>
              <w:tabs>
                <w:tab w:val="left" w:pos="0"/>
                <w:tab w:val="left" w:pos="144"/>
                <w:tab w:val="left" w:pos="414"/>
              </w:tabs>
              <w:spacing w:after="160" w:line="259" w:lineRule="auto"/>
              <w:ind w:left="0" w:firstLine="0"/>
              <w:contextualSpacing/>
              <w:jc w:val="both"/>
              <w:rPr>
                <w:bCs/>
                <w:sz w:val="18"/>
                <w:szCs w:val="18"/>
                <w:lang w:val="ro-MD" w:eastAsia="en-US"/>
              </w:rPr>
            </w:pPr>
            <w:bookmarkStart w:id="64" w:name="_Ref169012190"/>
            <w:r w:rsidRPr="00A96E09">
              <w:rPr>
                <w:bCs/>
                <w:sz w:val="18"/>
                <w:szCs w:val="18"/>
                <w:lang w:val="ro-MD" w:eastAsia="en-US"/>
              </w:rPr>
              <w:t xml:space="preserve">Banca care este client calculează cerinţele de fonduri proprii pentru tranzacţiile sale legate de o CPC cu membrul său compensator în conformitate cu </w:t>
            </w:r>
            <w:bookmarkStart w:id="65" w:name="_Hlk163077929"/>
            <w:r w:rsidRPr="00A96E09">
              <w:rPr>
                <w:bCs/>
                <w:sz w:val="18"/>
                <w:szCs w:val="18"/>
                <w:lang w:val="ro-MD" w:eastAsia="en-US"/>
              </w:rPr>
              <w:t>capitolele I - VII, cu prevederile Regulamentului nr.112/2018 și ale Regulamentului nr.103/2020</w:t>
            </w:r>
            <w:bookmarkEnd w:id="65"/>
            <w:r w:rsidRPr="00A96E09">
              <w:rPr>
                <w:bCs/>
                <w:sz w:val="18"/>
                <w:szCs w:val="18"/>
                <w:lang w:val="ro-MD" w:eastAsia="en-US"/>
              </w:rPr>
              <w:t>, după caz.</w:t>
            </w:r>
            <w:bookmarkEnd w:id="64"/>
            <w:r w:rsidRPr="00A96E09">
              <w:rPr>
                <w:bCs/>
                <w:sz w:val="18"/>
                <w:szCs w:val="18"/>
                <w:lang w:val="ro-MD" w:eastAsia="en-US"/>
              </w:rPr>
              <w:t xml:space="preserve"> </w:t>
            </w:r>
          </w:p>
          <w:p w14:paraId="49B8D81E" w14:textId="5D8C35ED" w:rsidR="00236954" w:rsidRPr="00A96E09" w:rsidRDefault="00236954" w:rsidP="00236954">
            <w:pPr>
              <w:numPr>
                <w:ilvl w:val="0"/>
                <w:numId w:val="37"/>
              </w:numPr>
              <w:tabs>
                <w:tab w:val="left" w:pos="0"/>
                <w:tab w:val="left" w:pos="144"/>
                <w:tab w:val="left" w:pos="414"/>
              </w:tabs>
              <w:spacing w:after="160" w:line="259" w:lineRule="auto"/>
              <w:ind w:left="0" w:firstLine="0"/>
              <w:contextualSpacing/>
              <w:jc w:val="both"/>
              <w:rPr>
                <w:bCs/>
                <w:sz w:val="18"/>
                <w:szCs w:val="18"/>
                <w:lang w:val="ro-MD" w:eastAsia="en-US"/>
              </w:rPr>
            </w:pPr>
            <w:bookmarkStart w:id="66" w:name="_Ref169010736"/>
            <w:bookmarkStart w:id="67" w:name="_Ref169012274"/>
            <w:r w:rsidRPr="00A96E09">
              <w:rPr>
                <w:bCs/>
                <w:sz w:val="18"/>
                <w:szCs w:val="18"/>
                <w:lang w:val="ro-MD" w:eastAsia="en-US"/>
              </w:rPr>
              <w:t>Fără a aduce atingere abordării prevăzute la punctul 140, în cazul în care banca este client, aceasta poate calcula cerinţele de fonduri proprii pentru expunerile sale din tranzacţii în cazul tranzacţiilor cu membrul compensator legate de CPC în conformitate cu punctele 145-148, dacă sunt îndeplinite cumulativ următoarele condiţii:</w:t>
            </w:r>
            <w:bookmarkEnd w:id="66"/>
            <w:bookmarkEnd w:id="67"/>
          </w:p>
          <w:p w14:paraId="5347E604" w14:textId="77777777" w:rsidR="00236954" w:rsidRPr="00A96E09" w:rsidRDefault="00236954" w:rsidP="00236954">
            <w:pPr>
              <w:numPr>
                <w:ilvl w:val="1"/>
                <w:numId w:val="37"/>
              </w:numPr>
              <w:tabs>
                <w:tab w:val="left" w:pos="0"/>
                <w:tab w:val="left" w:pos="144"/>
                <w:tab w:val="left" w:pos="414"/>
                <w:tab w:val="left" w:pos="569"/>
              </w:tabs>
              <w:spacing w:after="160" w:line="259" w:lineRule="auto"/>
              <w:ind w:left="0" w:firstLine="0"/>
              <w:contextualSpacing/>
              <w:jc w:val="both"/>
              <w:rPr>
                <w:bCs/>
                <w:sz w:val="18"/>
                <w:szCs w:val="18"/>
                <w:lang w:val="ro-MD" w:eastAsia="en-US"/>
              </w:rPr>
            </w:pPr>
            <w:bookmarkStart w:id="68" w:name="_Ref169012378"/>
            <w:r w:rsidRPr="00A96E09">
              <w:rPr>
                <w:bCs/>
                <w:sz w:val="18"/>
                <w:szCs w:val="18"/>
                <w:lang w:val="ro-MD" w:eastAsia="en-US"/>
              </w:rPr>
              <w:lastRenderedPageBreak/>
              <w:t>poziţiile și activele băncii legate de tranzacţiile în cauză sunt distinse și separate, atât la nivelul membrului compensator, cât și al CPC, de poziţiile și activele membrului compensator și ale celorlalţi clienţi ai membrului compensator și, ca urmare a acestei distincţii și separări, poziţiile și activele respective ale băncii sunt indisponibile în cazul în care membrul compensator ori unul sau mai mulţi dintre clienţii săi intră în stare de nerambursare sau în insovabilitate;</w:t>
            </w:r>
            <w:bookmarkEnd w:id="68"/>
          </w:p>
          <w:p w14:paraId="08500F9B" w14:textId="77777777" w:rsidR="00236954" w:rsidRPr="00A96E09" w:rsidRDefault="00236954" w:rsidP="00236954">
            <w:pPr>
              <w:numPr>
                <w:ilvl w:val="1"/>
                <w:numId w:val="37"/>
              </w:numPr>
              <w:tabs>
                <w:tab w:val="left" w:pos="0"/>
                <w:tab w:val="left" w:pos="144"/>
                <w:tab w:val="left" w:pos="414"/>
                <w:tab w:val="left" w:pos="569"/>
              </w:tabs>
              <w:spacing w:after="160" w:line="259" w:lineRule="auto"/>
              <w:ind w:left="0" w:firstLine="0"/>
              <w:contextualSpacing/>
              <w:jc w:val="both"/>
              <w:rPr>
                <w:bCs/>
                <w:sz w:val="18"/>
                <w:szCs w:val="18"/>
                <w:lang w:val="ro-MD" w:eastAsia="en-US"/>
              </w:rPr>
            </w:pPr>
            <w:bookmarkStart w:id="69" w:name="_Ref169010746"/>
            <w:bookmarkStart w:id="70" w:name="_Ref169012230"/>
            <w:r w:rsidRPr="00A96E09">
              <w:rPr>
                <w:bCs/>
                <w:sz w:val="18"/>
                <w:szCs w:val="18"/>
                <w:lang w:val="ro-MD" w:eastAsia="en-US"/>
              </w:rPr>
              <w:t>legislaţia, precum și acordurile contractuale aplicabile băncii sau CPC ori obligatorii pentru acestea facilitează transferul poziţiilor clientului legate de contractele și de tranzacţiile în cauză și al garanţiilor reale aferente către un alt membru compensator în perioada de risc de marjă aplicabilă, în cazul în care membrul compensator iniţial intră în stare de nerambursare sau în insolvenţă. În această situaţie, poziţiile clientului și garanţiile reale se transferă la valoarea de piaţă, cu excepţia cazului în care clientul solicită închiderea poziţiei la valoarea de piaţă;</w:t>
            </w:r>
            <w:bookmarkEnd w:id="69"/>
            <w:bookmarkEnd w:id="70"/>
            <w:r w:rsidRPr="00A96E09">
              <w:rPr>
                <w:bCs/>
                <w:sz w:val="18"/>
                <w:szCs w:val="18"/>
                <w:lang w:val="ro-MD" w:eastAsia="en-US"/>
              </w:rPr>
              <w:t xml:space="preserve"> </w:t>
            </w:r>
          </w:p>
          <w:p w14:paraId="02737339" w14:textId="2BC4237B" w:rsidR="00236954" w:rsidRPr="00A96E09" w:rsidRDefault="00236954" w:rsidP="00236954">
            <w:pPr>
              <w:numPr>
                <w:ilvl w:val="1"/>
                <w:numId w:val="37"/>
              </w:numPr>
              <w:tabs>
                <w:tab w:val="left" w:pos="0"/>
                <w:tab w:val="left" w:pos="144"/>
                <w:tab w:val="left" w:pos="286"/>
                <w:tab w:val="left" w:pos="414"/>
                <w:tab w:val="left" w:pos="569"/>
              </w:tabs>
              <w:spacing w:after="160" w:line="259" w:lineRule="auto"/>
              <w:ind w:left="0" w:firstLine="0"/>
              <w:contextualSpacing/>
              <w:jc w:val="both"/>
              <w:rPr>
                <w:bCs/>
                <w:sz w:val="18"/>
                <w:szCs w:val="18"/>
                <w:lang w:val="ro-MD" w:eastAsia="en-US"/>
              </w:rPr>
            </w:pPr>
            <w:r w:rsidRPr="00A96E09">
              <w:rPr>
                <w:bCs/>
                <w:sz w:val="18"/>
                <w:szCs w:val="18"/>
                <w:lang w:val="ro-MD" w:eastAsia="en-US"/>
              </w:rPr>
              <w:t xml:space="preserve">clientul a efectuat și a menţinut la zi o analiză juridică suficient de aprofundată, care demonstrează că modalităţile prin care se asigură îndeplinirea condiţiei prevăzute la subpunctul 141.2. sunt legale, valabile, obligatorii și executorii din punct de vedere juridic în temeiul legislaţiei relevante ale jurisdicţiei sau jurisdicţiilor relevante; </w:t>
            </w:r>
          </w:p>
          <w:p w14:paraId="2217F0E1" w14:textId="77777777" w:rsidR="00236954" w:rsidRPr="00A96E09" w:rsidRDefault="00236954" w:rsidP="00236954">
            <w:pPr>
              <w:numPr>
                <w:ilvl w:val="1"/>
                <w:numId w:val="37"/>
              </w:numPr>
              <w:tabs>
                <w:tab w:val="left" w:pos="0"/>
                <w:tab w:val="left" w:pos="144"/>
                <w:tab w:val="left" w:pos="286"/>
                <w:tab w:val="left" w:pos="569"/>
              </w:tabs>
              <w:spacing w:after="160" w:line="259" w:lineRule="auto"/>
              <w:ind w:left="0" w:firstLine="0"/>
              <w:contextualSpacing/>
              <w:jc w:val="both"/>
              <w:rPr>
                <w:bCs/>
                <w:sz w:val="18"/>
                <w:szCs w:val="18"/>
                <w:lang w:val="ro-MD" w:eastAsia="en-US"/>
              </w:rPr>
            </w:pPr>
            <w:bookmarkStart w:id="71" w:name="_Ref169012504"/>
            <w:r w:rsidRPr="00A96E09">
              <w:rPr>
                <w:bCs/>
                <w:sz w:val="18"/>
                <w:szCs w:val="18"/>
                <w:lang w:val="ro-MD" w:eastAsia="en-US"/>
              </w:rPr>
              <w:t>CPC este o CPCC.</w:t>
            </w:r>
            <w:bookmarkEnd w:id="71"/>
            <w:r w:rsidRPr="00A96E09">
              <w:rPr>
                <w:bCs/>
                <w:sz w:val="18"/>
                <w:szCs w:val="18"/>
                <w:lang w:val="ro-MD" w:eastAsia="en-US"/>
              </w:rPr>
              <w:t xml:space="preserve"> </w:t>
            </w:r>
          </w:p>
          <w:p w14:paraId="0B80B0CD" w14:textId="6D7EC69D" w:rsidR="00236954" w:rsidRPr="00A96E09" w:rsidRDefault="00236954" w:rsidP="00236954">
            <w:pPr>
              <w:numPr>
                <w:ilvl w:val="0"/>
                <w:numId w:val="37"/>
              </w:numPr>
              <w:tabs>
                <w:tab w:val="left" w:pos="0"/>
                <w:tab w:val="left" w:pos="144"/>
                <w:tab w:val="left" w:pos="414"/>
              </w:tabs>
              <w:spacing w:after="160" w:line="259" w:lineRule="auto"/>
              <w:ind w:left="0" w:firstLine="0"/>
              <w:contextualSpacing/>
              <w:jc w:val="both"/>
              <w:rPr>
                <w:bCs/>
                <w:sz w:val="18"/>
                <w:szCs w:val="18"/>
                <w:lang w:val="ro-MD" w:eastAsia="en-US"/>
              </w:rPr>
            </w:pPr>
            <w:bookmarkStart w:id="72" w:name="_Ref169012784"/>
            <w:r w:rsidRPr="00A96E09">
              <w:rPr>
                <w:bCs/>
                <w:sz w:val="18"/>
                <w:szCs w:val="18"/>
                <w:lang w:val="ro-MD" w:eastAsia="en-US"/>
              </w:rPr>
              <w:t>Atunci când banca evaluează dacă respectă condiţia prevăzută la punctul 141, subpunctul 141.2., aceasta poate lua în considerare orice precedent clar în materie de transferuri ale poziţiilor clienţilor și ale garanţiilor reale corespunzătoare la nivelul unei CPC, precum și orice intenţie din partea sectorului de a continua această practică.</w:t>
            </w:r>
            <w:bookmarkEnd w:id="72"/>
          </w:p>
          <w:p w14:paraId="630B5068" w14:textId="3E98DB44" w:rsidR="00236954" w:rsidRPr="00A96E09" w:rsidRDefault="00236954" w:rsidP="00236954">
            <w:pPr>
              <w:numPr>
                <w:ilvl w:val="0"/>
                <w:numId w:val="37"/>
              </w:numPr>
              <w:tabs>
                <w:tab w:val="left" w:pos="0"/>
                <w:tab w:val="left" w:pos="144"/>
                <w:tab w:val="left" w:pos="414"/>
              </w:tabs>
              <w:spacing w:after="160" w:line="259" w:lineRule="auto"/>
              <w:ind w:left="0" w:firstLine="0"/>
              <w:contextualSpacing/>
              <w:jc w:val="both"/>
              <w:rPr>
                <w:bCs/>
                <w:sz w:val="18"/>
                <w:szCs w:val="18"/>
                <w:lang w:val="ro-MD" w:eastAsia="en-US"/>
              </w:rPr>
            </w:pPr>
            <w:bookmarkStart w:id="73" w:name="_Ref169012847"/>
            <w:r w:rsidRPr="00A96E09">
              <w:rPr>
                <w:bCs/>
                <w:sz w:val="18"/>
                <w:szCs w:val="18"/>
                <w:lang w:val="ro-MD" w:eastAsia="en-US"/>
              </w:rPr>
              <w:t xml:space="preserve">Prin derogare de la punctele 141 și 142, în cazul în care banca care este client nu îndeplinește condiţia prevăzută la punctul 141, subpunctul 141.1. deoarece nu </w:t>
            </w:r>
            <w:r w:rsidRPr="00A96E09">
              <w:rPr>
                <w:bCs/>
                <w:sz w:val="18"/>
                <w:szCs w:val="18"/>
                <w:lang w:val="ro-MD" w:eastAsia="en-US"/>
              </w:rPr>
              <w:lastRenderedPageBreak/>
              <w:t>este protejată de pierderi în situaţia în care membrul compensator și un alt client al membrului compensator intră împreună în stare de nerambursare, sub rezerva îndeplinirii tuturor celelalte condiţii prevăzute la punctul 141, subpunctele 141.1.-141.4. sunt îndeplinite, banca poate calcula cerinţele de fonduri proprii pentru expunerile sale din tranzacţii în cazul tranzacţiilor cu membrul său compensator legate de o CPC în conformitate cu punctele 145-148, sub rezerva înlocuirii ponderii de risc de 2 % prevăzute la punctul 145, subpunctul 145.1. cu o pondere de risc de 4 %.</w:t>
            </w:r>
            <w:bookmarkEnd w:id="73"/>
          </w:p>
          <w:p w14:paraId="0D4FF6D9" w14:textId="77777777" w:rsidR="00236954" w:rsidRDefault="00236954" w:rsidP="00236954">
            <w:pPr>
              <w:numPr>
                <w:ilvl w:val="0"/>
                <w:numId w:val="37"/>
              </w:numPr>
              <w:tabs>
                <w:tab w:val="left" w:pos="0"/>
                <w:tab w:val="left" w:pos="144"/>
                <w:tab w:val="left" w:pos="414"/>
              </w:tabs>
              <w:spacing w:after="160" w:line="259" w:lineRule="auto"/>
              <w:ind w:left="0" w:firstLine="0"/>
              <w:contextualSpacing/>
              <w:jc w:val="both"/>
              <w:rPr>
                <w:bCs/>
                <w:sz w:val="18"/>
                <w:szCs w:val="18"/>
                <w:lang w:val="ro-MD" w:eastAsia="en-US"/>
              </w:rPr>
            </w:pPr>
            <w:r w:rsidRPr="00A96E09">
              <w:rPr>
                <w:bCs/>
                <w:sz w:val="18"/>
                <w:szCs w:val="18"/>
                <w:lang w:val="ro-MD" w:eastAsia="en-US"/>
              </w:rPr>
              <w:t xml:space="preserve">În cazul unei structuri a clientelei pe mai multe niveluri, banca care este client de nivel inferior și care accesează serviciile unei CPC prin intermediul unui client de nivel superior poate aplica tratamentul menţionat la punctele </w:t>
            </w:r>
            <w:r w:rsidRPr="00A96E09">
              <w:rPr>
                <w:bCs/>
                <w:sz w:val="18"/>
                <w:szCs w:val="18"/>
                <w:lang w:val="ro-MD" w:eastAsia="en-US"/>
              </w:rPr>
              <w:fldChar w:fldCharType="begin"/>
            </w:r>
            <w:r w:rsidRPr="00A96E09">
              <w:rPr>
                <w:bCs/>
                <w:sz w:val="18"/>
                <w:szCs w:val="18"/>
                <w:lang w:val="ro-MD" w:eastAsia="en-US"/>
              </w:rPr>
              <w:instrText xml:space="preserve"> REF _Ref169012274 \r \h  \* MERGEFORMAT </w:instrText>
            </w:r>
            <w:r w:rsidRPr="00A96E09">
              <w:rPr>
                <w:bCs/>
                <w:sz w:val="18"/>
                <w:szCs w:val="18"/>
                <w:lang w:val="ro-MD" w:eastAsia="en-US"/>
              </w:rPr>
            </w:r>
            <w:r w:rsidRPr="00A96E09">
              <w:rPr>
                <w:bCs/>
                <w:sz w:val="18"/>
                <w:szCs w:val="18"/>
                <w:lang w:val="ro-MD" w:eastAsia="en-US"/>
              </w:rPr>
              <w:fldChar w:fldCharType="separate"/>
            </w:r>
            <w:r>
              <w:rPr>
                <w:bCs/>
                <w:sz w:val="18"/>
                <w:szCs w:val="18"/>
                <w:lang w:val="ro-MD" w:eastAsia="en-US"/>
              </w:rPr>
              <w:t>141</w:t>
            </w:r>
            <w:r w:rsidRPr="00A96E09">
              <w:rPr>
                <w:bCs/>
                <w:sz w:val="18"/>
                <w:szCs w:val="18"/>
                <w:lang w:val="ro-MD" w:eastAsia="en-US"/>
              </w:rPr>
              <w:fldChar w:fldCharType="end"/>
            </w:r>
            <w:r w:rsidRPr="00A96E09">
              <w:rPr>
                <w:bCs/>
                <w:sz w:val="18"/>
                <w:szCs w:val="18"/>
                <w:lang w:val="ro-MD" w:eastAsia="en-US"/>
              </w:rPr>
              <w:t>-143 numai în cazul în care condiţiile prevăzute la punctele respective sunt îndeplinite la fiecare nivel al structurii în cauză.</w:t>
            </w:r>
          </w:p>
          <w:p w14:paraId="378F829F" w14:textId="77777777" w:rsidR="00236954" w:rsidRDefault="00236954" w:rsidP="00236954">
            <w:pPr>
              <w:tabs>
                <w:tab w:val="left" w:pos="0"/>
                <w:tab w:val="left" w:pos="144"/>
                <w:tab w:val="left" w:pos="414"/>
              </w:tabs>
              <w:spacing w:after="160" w:line="259" w:lineRule="auto"/>
              <w:contextualSpacing/>
              <w:jc w:val="both"/>
              <w:rPr>
                <w:bCs/>
                <w:sz w:val="18"/>
                <w:szCs w:val="18"/>
                <w:lang w:val="ro-MD" w:eastAsia="en-US"/>
              </w:rPr>
            </w:pPr>
          </w:p>
          <w:p w14:paraId="7910F905" w14:textId="77777777" w:rsidR="00236954" w:rsidRDefault="00236954" w:rsidP="00236954">
            <w:pPr>
              <w:tabs>
                <w:tab w:val="left" w:pos="0"/>
                <w:tab w:val="left" w:pos="144"/>
                <w:tab w:val="left" w:pos="414"/>
              </w:tabs>
              <w:spacing w:after="160" w:line="259" w:lineRule="auto"/>
              <w:contextualSpacing/>
              <w:jc w:val="both"/>
              <w:rPr>
                <w:bCs/>
                <w:sz w:val="18"/>
                <w:szCs w:val="18"/>
                <w:lang w:val="ro-MD" w:eastAsia="en-US"/>
              </w:rPr>
            </w:pPr>
          </w:p>
          <w:p w14:paraId="5689B46D" w14:textId="77777777" w:rsidR="00236954" w:rsidRDefault="00236954" w:rsidP="00236954">
            <w:pPr>
              <w:tabs>
                <w:tab w:val="left" w:pos="0"/>
                <w:tab w:val="left" w:pos="144"/>
                <w:tab w:val="left" w:pos="414"/>
              </w:tabs>
              <w:spacing w:after="160" w:line="259" w:lineRule="auto"/>
              <w:contextualSpacing/>
              <w:jc w:val="both"/>
              <w:rPr>
                <w:bCs/>
                <w:sz w:val="18"/>
                <w:szCs w:val="18"/>
                <w:lang w:val="ro-MD" w:eastAsia="en-US"/>
              </w:rPr>
            </w:pPr>
          </w:p>
          <w:p w14:paraId="2015FC52" w14:textId="77777777" w:rsidR="00236954" w:rsidRDefault="00236954" w:rsidP="00236954">
            <w:pPr>
              <w:tabs>
                <w:tab w:val="left" w:pos="0"/>
                <w:tab w:val="left" w:pos="144"/>
                <w:tab w:val="left" w:pos="414"/>
              </w:tabs>
              <w:spacing w:after="160" w:line="259" w:lineRule="auto"/>
              <w:contextualSpacing/>
              <w:jc w:val="both"/>
              <w:rPr>
                <w:bCs/>
                <w:sz w:val="18"/>
                <w:szCs w:val="18"/>
                <w:lang w:val="ro-MD" w:eastAsia="en-US"/>
              </w:rPr>
            </w:pPr>
          </w:p>
          <w:p w14:paraId="1D2C7DA3" w14:textId="7BDBAA70" w:rsidR="00236954" w:rsidRPr="00A96E09" w:rsidRDefault="00236954" w:rsidP="00236954">
            <w:pPr>
              <w:tabs>
                <w:tab w:val="left" w:pos="0"/>
                <w:tab w:val="left" w:pos="144"/>
                <w:tab w:val="left" w:pos="414"/>
              </w:tabs>
              <w:spacing w:after="160" w:line="259" w:lineRule="auto"/>
              <w:contextualSpacing/>
              <w:jc w:val="both"/>
              <w:rPr>
                <w:b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4EDC8B57" w14:textId="49804863" w:rsidR="00236954" w:rsidRPr="00A96E09" w:rsidRDefault="00236954" w:rsidP="00236954">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3CC06F71" w14:textId="77777777" w:rsidR="00236954" w:rsidRPr="00A96E09" w:rsidRDefault="00236954" w:rsidP="00236954">
            <w:pPr>
              <w:jc w:val="both"/>
              <w:rPr>
                <w:sz w:val="18"/>
                <w:szCs w:val="18"/>
                <w:lang w:val="ro-MD"/>
              </w:rPr>
            </w:pPr>
          </w:p>
        </w:tc>
      </w:tr>
      <w:tr w:rsidR="00236954" w:rsidRPr="00A96E09" w14:paraId="707986A4" w14:textId="77777777" w:rsidTr="00C14AF6">
        <w:trPr>
          <w:trHeight w:val="918"/>
        </w:trPr>
        <w:tc>
          <w:tcPr>
            <w:tcW w:w="3866" w:type="dxa"/>
          </w:tcPr>
          <w:p w14:paraId="59640A69" w14:textId="3553B1A5"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306 </w:t>
            </w:r>
            <w:r w:rsidRPr="00A96E09">
              <w:rPr>
                <w:rFonts w:eastAsiaTheme="minorHAnsi"/>
                <w:b/>
                <w:bCs/>
                <w:color w:val="000000"/>
                <w:sz w:val="18"/>
                <w:szCs w:val="18"/>
                <w:lang w:val="ro-MD" w:eastAsia="en-US"/>
              </w:rPr>
              <w:t xml:space="preserve">Cerinţele de fonduri proprii pentru expunerile din tranzacţii </w:t>
            </w:r>
          </w:p>
          <w:p w14:paraId="6DF05175"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O instituţie aplică următorul tratament expunerilor sale din tranzacţii cu CPC: </w:t>
            </w:r>
          </w:p>
          <w:p w14:paraId="3771E440"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aplică o pondere de risc de 2 % valorilor tuturor expunerilor sale din tranzacţii cu CPCC; </w:t>
            </w:r>
          </w:p>
          <w:p w14:paraId="274E30B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aplică ponderea de risc utilizată în cadrul abordării standardizate pentru riscul de credit prevăzută la articolul 107 alineatul (2) litera (b) </w:t>
            </w:r>
            <w:r w:rsidRPr="00A96E09">
              <w:rPr>
                <w:rFonts w:eastAsiaTheme="minorHAnsi"/>
                <w:color w:val="000000"/>
                <w:sz w:val="18"/>
                <w:szCs w:val="18"/>
                <w:lang w:val="ro-MD" w:eastAsia="en-US"/>
              </w:rPr>
              <w:lastRenderedPageBreak/>
              <w:t>tuturor expunerilor sale din tranzacţii cu CPC necalificate;</w:t>
            </w:r>
            <w:r w:rsidRPr="00A96E09">
              <w:rPr>
                <w:rFonts w:eastAsiaTheme="minorHAnsi"/>
                <w:b/>
                <w:bCs/>
                <w:color w:val="000000"/>
                <w:sz w:val="18"/>
                <w:szCs w:val="18"/>
                <w:lang w:val="ro-MD" w:eastAsia="en-US"/>
              </w:rPr>
              <w:t xml:space="preserve"> </w:t>
            </w:r>
          </w:p>
          <w:p w14:paraId="7DAF7833"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(c) în cazul în care o instituţie acţionează ca intermediar financiar între un client și o CPC, iar condiţiile tranzacţiei legate de CPC prevăd că instituţia nu este obligată să ramburseze clientului eventualele pierderi suferite ca urmare a modificărilor valorii tranzacţiei respective în cazul în care respectiva CPC intră în stare de nerambursare, instituţia respectivă poate stabili ca valoarea expunerii pentru expunerea din tranzacţia cu CPC care corespunde tranzacţiei legate de CPC respective să fie egală cu zero; </w:t>
            </w:r>
          </w:p>
          <w:p w14:paraId="4FA344AC"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 în cazul în care o instituţie acţionează ca intermediar financiar între un client și o CPC, iar condiţiile tranzacţiei legate de CPC prevăd că instituţia este obligată să ramburseze clientului eventualele pierderi suferite ca urmare a modificărilor valorii tranzacţiei respective în cazul în care respectiva CPC intră în stare de nerambursare, instituţia respectivă aplică tratamentul de la litera (a) sau (b), după caz, expunerii din tranzacţia cu CPC care corespunde tranzacţiei legate de CPC respective. </w:t>
            </w:r>
          </w:p>
          <w:p w14:paraId="458E55F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(2) Prin derogare de la alineatul (1), dacă activele date în garanţie unei CPC sau unui membru compensator sunt indisponibile în cazul în care respectiva CPC, membrul compensator ori unul sau mai mulţi dintre ceilalţi clienţi ai membrului compensator devin insolvenţi, o instituţie poate atribui expunerilor la riscul de credit al contrapărţii aferente activelor respective o valoare a expunerii egală cu zero. </w:t>
            </w:r>
          </w:p>
          <w:p w14:paraId="008502FC"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(3) O instituţie calculează valorile expunerilor pentru expunerile sale din tranzacţii cu o CPC în conformitate cu secţiunile 1-8 din prezentul capitol și cu secţiunea 4 din capitolul 4, după caz. </w:t>
            </w:r>
          </w:p>
          <w:p w14:paraId="25169CFB" w14:textId="09D022A4"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r w:rsidRPr="00A96E09">
              <w:rPr>
                <w:rFonts w:eastAsiaTheme="minorHAnsi"/>
                <w:color w:val="000000"/>
                <w:sz w:val="18"/>
                <w:szCs w:val="18"/>
                <w:lang w:val="ro-MD" w:eastAsia="en-US"/>
              </w:rPr>
              <w:t xml:space="preserve">(4) O instituţie calculează cuantumurile ponderate la risc ale expunerilor pentru expunerile sale din tranzacţii cu CPC în sensul articolului 92 alineatul </w:t>
            </w:r>
            <w:r w:rsidRPr="00A96E09">
              <w:rPr>
                <w:rFonts w:eastAsiaTheme="minorHAnsi"/>
                <w:color w:val="000000"/>
                <w:sz w:val="18"/>
                <w:szCs w:val="18"/>
                <w:lang w:val="ro-MD" w:eastAsia="en-US"/>
              </w:rPr>
              <w:lastRenderedPageBreak/>
              <w:t>(3) înmulţind suma valorilor expunerilor sale din tranzacţii cu CPC, calculate în conformitate cu alineatele (2) și (3) de la prezentul articol, cu ponderea de risc determinată în conformitate cu alineatul (1) de la prezentul articol.</w:t>
            </w:r>
          </w:p>
        </w:tc>
        <w:tc>
          <w:tcPr>
            <w:tcW w:w="4356" w:type="dxa"/>
          </w:tcPr>
          <w:p w14:paraId="732D9565" w14:textId="77777777" w:rsidR="00236954" w:rsidRPr="00A96E09" w:rsidRDefault="00236954" w:rsidP="00236954">
            <w:pPr>
              <w:tabs>
                <w:tab w:val="left" w:pos="0"/>
                <w:tab w:val="left" w:pos="144"/>
              </w:tabs>
              <w:contextualSpacing/>
              <w:jc w:val="center"/>
              <w:rPr>
                <w:bCs/>
                <w:i/>
                <w:iCs/>
                <w:sz w:val="18"/>
                <w:szCs w:val="18"/>
                <w:lang w:val="ro-MD" w:eastAsia="en-US"/>
              </w:rPr>
            </w:pPr>
            <w:bookmarkStart w:id="74" w:name="_Hlk162997397"/>
            <w:r w:rsidRPr="00A96E09">
              <w:rPr>
                <w:bCs/>
                <w:i/>
                <w:iCs/>
                <w:sz w:val="18"/>
                <w:szCs w:val="18"/>
                <w:lang w:val="ro-MD" w:eastAsia="en-US"/>
              </w:rPr>
              <w:lastRenderedPageBreak/>
              <w:t>Secţiunea a 6-a</w:t>
            </w:r>
          </w:p>
          <w:bookmarkEnd w:id="74"/>
          <w:p w14:paraId="36C9264C" w14:textId="77777777" w:rsidR="00236954" w:rsidRPr="00A96E09" w:rsidRDefault="00236954" w:rsidP="00236954">
            <w:pPr>
              <w:tabs>
                <w:tab w:val="left" w:pos="0"/>
                <w:tab w:val="left" w:pos="144"/>
              </w:tabs>
              <w:contextualSpacing/>
              <w:jc w:val="center"/>
              <w:rPr>
                <w:b/>
                <w:sz w:val="18"/>
                <w:szCs w:val="18"/>
                <w:lang w:val="ro-MD" w:eastAsia="en-US"/>
              </w:rPr>
            </w:pPr>
            <w:r w:rsidRPr="00A96E09">
              <w:rPr>
                <w:b/>
                <w:sz w:val="18"/>
                <w:szCs w:val="18"/>
                <w:lang w:val="ro-MD" w:eastAsia="en-US"/>
              </w:rPr>
              <w:t>Cerinţele de fonduri proprii pentru expunerile din tranzacţii și cerinţele de fonduri proprii pentru contribuţiile la fondul de garantare al unei CPC</w:t>
            </w:r>
          </w:p>
          <w:p w14:paraId="5DCF0CF2" w14:textId="77777777" w:rsidR="00236954" w:rsidRPr="00A96E09" w:rsidRDefault="00236954" w:rsidP="00236954">
            <w:pPr>
              <w:tabs>
                <w:tab w:val="left" w:pos="0"/>
                <w:tab w:val="left" w:pos="144"/>
              </w:tabs>
              <w:contextualSpacing/>
              <w:rPr>
                <w:b/>
                <w:sz w:val="18"/>
                <w:szCs w:val="18"/>
                <w:lang w:val="ro-MD" w:eastAsia="en-US"/>
              </w:rPr>
            </w:pPr>
          </w:p>
          <w:p w14:paraId="6B3089DC" w14:textId="77777777" w:rsidR="00236954" w:rsidRPr="00A96E09" w:rsidRDefault="00236954" w:rsidP="00236954">
            <w:pPr>
              <w:numPr>
                <w:ilvl w:val="0"/>
                <w:numId w:val="37"/>
              </w:numPr>
              <w:tabs>
                <w:tab w:val="left" w:pos="0"/>
                <w:tab w:val="left" w:pos="144"/>
                <w:tab w:val="left" w:pos="428"/>
              </w:tabs>
              <w:spacing w:after="160" w:line="259" w:lineRule="auto"/>
              <w:ind w:left="0" w:firstLine="0"/>
              <w:contextualSpacing/>
              <w:jc w:val="both"/>
              <w:rPr>
                <w:bCs/>
                <w:sz w:val="18"/>
                <w:szCs w:val="18"/>
                <w:lang w:val="ro-MD" w:eastAsia="en-US"/>
              </w:rPr>
            </w:pPr>
            <w:bookmarkStart w:id="75" w:name="_Ref169006224"/>
            <w:bookmarkStart w:id="76" w:name="_Ref169012638"/>
            <w:r w:rsidRPr="00A96E09">
              <w:rPr>
                <w:bCs/>
                <w:sz w:val="18"/>
                <w:szCs w:val="18"/>
                <w:lang w:val="ro-MD" w:eastAsia="en-US"/>
              </w:rPr>
              <w:t>Banca aplică următorul tratament expunerilor sale din tranzacţii cu CPC:</w:t>
            </w:r>
            <w:bookmarkEnd w:id="75"/>
            <w:bookmarkEnd w:id="76"/>
          </w:p>
          <w:p w14:paraId="4025B6FB" w14:textId="77777777" w:rsidR="00236954" w:rsidRPr="00A96E09" w:rsidRDefault="00236954" w:rsidP="00236954">
            <w:pPr>
              <w:numPr>
                <w:ilvl w:val="1"/>
                <w:numId w:val="37"/>
              </w:numPr>
              <w:tabs>
                <w:tab w:val="left" w:pos="0"/>
                <w:tab w:val="left" w:pos="144"/>
                <w:tab w:val="left" w:pos="569"/>
              </w:tabs>
              <w:spacing w:after="160" w:line="259" w:lineRule="auto"/>
              <w:ind w:left="2" w:firstLine="0"/>
              <w:contextualSpacing/>
              <w:jc w:val="both"/>
              <w:rPr>
                <w:bCs/>
                <w:sz w:val="18"/>
                <w:szCs w:val="18"/>
                <w:lang w:val="ro-MD" w:eastAsia="en-US"/>
              </w:rPr>
            </w:pPr>
            <w:bookmarkStart w:id="77" w:name="_Ref169012702"/>
            <w:r w:rsidRPr="00A96E09">
              <w:rPr>
                <w:bCs/>
                <w:sz w:val="18"/>
                <w:szCs w:val="18"/>
                <w:lang w:val="ro-MD" w:eastAsia="en-US"/>
              </w:rPr>
              <w:t>aplică o pondere de risc de 2 % valorilor tuturor expunerilor sale din tranzacţii cu CPCC;</w:t>
            </w:r>
            <w:bookmarkEnd w:id="77"/>
          </w:p>
          <w:p w14:paraId="01E990FB" w14:textId="77777777" w:rsidR="00236954" w:rsidRPr="00A96E09" w:rsidRDefault="00236954" w:rsidP="00236954">
            <w:pPr>
              <w:numPr>
                <w:ilvl w:val="1"/>
                <w:numId w:val="37"/>
              </w:numPr>
              <w:tabs>
                <w:tab w:val="left" w:pos="0"/>
                <w:tab w:val="left" w:pos="144"/>
                <w:tab w:val="left" w:pos="569"/>
              </w:tabs>
              <w:spacing w:after="160" w:line="259" w:lineRule="auto"/>
              <w:ind w:left="2" w:firstLine="0"/>
              <w:contextualSpacing/>
              <w:jc w:val="both"/>
              <w:rPr>
                <w:bCs/>
                <w:sz w:val="18"/>
                <w:szCs w:val="18"/>
                <w:lang w:val="ro-MD" w:eastAsia="en-US"/>
              </w:rPr>
            </w:pPr>
            <w:bookmarkStart w:id="78" w:name="_Ref169012927"/>
            <w:r w:rsidRPr="00A96E09">
              <w:rPr>
                <w:bCs/>
                <w:sz w:val="18"/>
                <w:szCs w:val="18"/>
                <w:lang w:val="ro-MD" w:eastAsia="en-US"/>
              </w:rPr>
              <w:t xml:space="preserve">aplică ponderea de risc utilizată în cadrul abordării standardizate pentru riscul de credit prevăzută în </w:t>
            </w:r>
            <w:r w:rsidRPr="00A96E09">
              <w:rPr>
                <w:bCs/>
                <w:sz w:val="18"/>
                <w:szCs w:val="18"/>
                <w:lang w:val="ro-MD" w:eastAsia="en-US"/>
              </w:rPr>
              <w:lastRenderedPageBreak/>
              <w:t>Regulamentul nr.111/2018 tuturor expunerilor sale din tranzacţii cu CPC necalificate;</w:t>
            </w:r>
            <w:bookmarkEnd w:id="78"/>
            <w:r w:rsidRPr="00A96E09">
              <w:rPr>
                <w:bCs/>
                <w:sz w:val="18"/>
                <w:szCs w:val="18"/>
                <w:lang w:val="ro-MD" w:eastAsia="en-US"/>
              </w:rPr>
              <w:t xml:space="preserve"> </w:t>
            </w:r>
          </w:p>
          <w:p w14:paraId="786B9FD5" w14:textId="70678458" w:rsidR="00236954" w:rsidRPr="00A96E09" w:rsidRDefault="00236954" w:rsidP="00236954">
            <w:pPr>
              <w:numPr>
                <w:ilvl w:val="1"/>
                <w:numId w:val="37"/>
              </w:numPr>
              <w:tabs>
                <w:tab w:val="left" w:pos="0"/>
                <w:tab w:val="left" w:pos="144"/>
                <w:tab w:val="left" w:pos="569"/>
                <w:tab w:val="left" w:pos="1276"/>
              </w:tabs>
              <w:spacing w:after="160" w:line="259" w:lineRule="auto"/>
              <w:ind w:left="2" w:firstLine="0"/>
              <w:contextualSpacing/>
              <w:jc w:val="both"/>
              <w:rPr>
                <w:bCs/>
                <w:sz w:val="18"/>
                <w:szCs w:val="18"/>
                <w:lang w:val="ro-MD" w:eastAsia="en-US"/>
              </w:rPr>
            </w:pPr>
            <w:r w:rsidRPr="00A96E09">
              <w:rPr>
                <w:bCs/>
                <w:sz w:val="18"/>
                <w:szCs w:val="18"/>
                <w:lang w:val="ro-MD" w:eastAsia="en-US"/>
              </w:rPr>
              <w:t>în cazul în care banca acţionează ca intermediar financiar între un client și o CPC, iar condiţiile tranzacţiei legate de CPC prevăd că banca nu este obligată să ramburseze clientului eventualele pierderi suferite ca urmare a modificărilor valorii tranzacţiei respective în cazul în care CPC intră în stare de nerambursare, banca poate stabili ca valoarea expunerii din tranzacţia cu CPC care corespunde tranzacţiei legate de CPC să fie egală cu zero;</w:t>
            </w:r>
          </w:p>
          <w:p w14:paraId="53DFA67E" w14:textId="7E3B3748" w:rsidR="00236954" w:rsidRPr="00A96E09" w:rsidRDefault="00236954" w:rsidP="00236954">
            <w:pPr>
              <w:numPr>
                <w:ilvl w:val="1"/>
                <w:numId w:val="37"/>
              </w:numPr>
              <w:tabs>
                <w:tab w:val="left" w:pos="0"/>
                <w:tab w:val="left" w:pos="144"/>
                <w:tab w:val="left" w:pos="569"/>
                <w:tab w:val="left" w:pos="1276"/>
              </w:tabs>
              <w:spacing w:after="160" w:line="259" w:lineRule="auto"/>
              <w:ind w:left="2" w:firstLine="0"/>
              <w:contextualSpacing/>
              <w:jc w:val="both"/>
              <w:rPr>
                <w:bCs/>
                <w:sz w:val="18"/>
                <w:szCs w:val="18"/>
                <w:lang w:val="ro-MD" w:eastAsia="en-US"/>
              </w:rPr>
            </w:pPr>
            <w:r w:rsidRPr="00A96E09">
              <w:rPr>
                <w:bCs/>
                <w:sz w:val="18"/>
                <w:szCs w:val="18"/>
                <w:lang w:val="ro-MD" w:eastAsia="en-US"/>
              </w:rPr>
              <w:t>în cazul în care banca acţionează ca intermediar financiar între un client și o CPC, iar condiţiile tranzacţiei legate de CPC prevăd că banca este obligată să ramburseze clientului eventualele pierderi suferite ca urmare a modificărilor valorii tranzacţiei respective în cazul în care CPC intră în stare de nerambursare, banca aplică tratamentul de la subpunctul 145.1. sau 145.2., după caz, expunerii din tranzacţia cu CPC care corespunde tranzacţiei legate de CPC respective.</w:t>
            </w:r>
          </w:p>
          <w:p w14:paraId="460300C5" w14:textId="5A29AB05" w:rsidR="00236954" w:rsidRPr="00A96E09" w:rsidRDefault="00236954" w:rsidP="00236954">
            <w:pPr>
              <w:numPr>
                <w:ilvl w:val="0"/>
                <w:numId w:val="37"/>
              </w:numPr>
              <w:tabs>
                <w:tab w:val="left" w:pos="0"/>
                <w:tab w:val="left" w:pos="144"/>
                <w:tab w:val="left" w:pos="428"/>
              </w:tabs>
              <w:spacing w:after="160" w:line="259" w:lineRule="auto"/>
              <w:ind w:left="2" w:firstLine="0"/>
              <w:contextualSpacing/>
              <w:rPr>
                <w:bCs/>
                <w:sz w:val="18"/>
                <w:szCs w:val="18"/>
                <w:lang w:val="ro-MD" w:eastAsia="en-US"/>
              </w:rPr>
            </w:pPr>
            <w:bookmarkStart w:id="79" w:name="_Ref169013041"/>
            <w:r w:rsidRPr="00A96E09">
              <w:rPr>
                <w:bCs/>
                <w:sz w:val="18"/>
                <w:szCs w:val="18"/>
                <w:lang w:val="ro-MD" w:eastAsia="en-US"/>
              </w:rPr>
              <w:t>Prin derogare de la punctul 145, dacă activele date în garanţie unei CPC sau unui membru compensator sunt indisponibile în cazul în care respectiva CPC, membrul compensator ori unul sau mai mulţi dintre ceilalţi clienţi ai membrului compensator devin insolvenţi, banca poate atribui expunerilor la riscul de credit al contrapărţii aferente activelor respective o valoare a expunerii egală cu zero.</w:t>
            </w:r>
            <w:bookmarkEnd w:id="79"/>
          </w:p>
          <w:p w14:paraId="7C416CF7" w14:textId="3A089855" w:rsidR="00236954" w:rsidRPr="00A96E09" w:rsidRDefault="00236954" w:rsidP="00236954">
            <w:pPr>
              <w:numPr>
                <w:ilvl w:val="0"/>
                <w:numId w:val="37"/>
              </w:numPr>
              <w:tabs>
                <w:tab w:val="left" w:pos="0"/>
                <w:tab w:val="left" w:pos="144"/>
                <w:tab w:val="left" w:pos="428"/>
              </w:tabs>
              <w:spacing w:after="160" w:line="259" w:lineRule="auto"/>
              <w:ind w:left="0" w:firstLine="0"/>
              <w:contextualSpacing/>
              <w:rPr>
                <w:bCs/>
                <w:sz w:val="18"/>
                <w:szCs w:val="18"/>
                <w:lang w:val="ro-MD" w:eastAsia="en-US"/>
              </w:rPr>
            </w:pPr>
            <w:bookmarkStart w:id="80" w:name="_Ref169013057"/>
            <w:r w:rsidRPr="00A96E09">
              <w:rPr>
                <w:bCs/>
                <w:sz w:val="18"/>
                <w:szCs w:val="18"/>
                <w:lang w:val="ro-MD" w:eastAsia="en-US"/>
              </w:rPr>
              <w:t>Banca calculează valorile expunerilor din tranzacţii cu o CPC în conformitate cu capitolele I - VII, cu prevederile Regulamentului nr.112/2018 și ale Regulamentului nr.103/2020, după caz.</w:t>
            </w:r>
            <w:bookmarkEnd w:id="80"/>
            <w:r w:rsidRPr="00A96E09">
              <w:rPr>
                <w:bCs/>
                <w:sz w:val="18"/>
                <w:szCs w:val="18"/>
                <w:lang w:val="ro-MD" w:eastAsia="en-US"/>
              </w:rPr>
              <w:t xml:space="preserve"> </w:t>
            </w:r>
          </w:p>
          <w:p w14:paraId="74FE330B" w14:textId="76C8D635" w:rsidR="00236954" w:rsidRPr="00A96E09" w:rsidRDefault="00236954" w:rsidP="00236954">
            <w:pPr>
              <w:numPr>
                <w:ilvl w:val="0"/>
                <w:numId w:val="37"/>
              </w:numPr>
              <w:tabs>
                <w:tab w:val="left" w:pos="0"/>
                <w:tab w:val="left" w:pos="144"/>
                <w:tab w:val="left" w:pos="428"/>
              </w:tabs>
              <w:spacing w:after="160" w:line="259" w:lineRule="auto"/>
              <w:ind w:left="0" w:firstLine="0"/>
              <w:contextualSpacing/>
              <w:rPr>
                <w:bCs/>
                <w:sz w:val="18"/>
                <w:szCs w:val="18"/>
                <w:lang w:val="ro-MD" w:eastAsia="en-US"/>
              </w:rPr>
            </w:pPr>
            <w:r w:rsidRPr="00A96E09">
              <w:rPr>
                <w:bCs/>
                <w:sz w:val="18"/>
                <w:szCs w:val="18"/>
                <w:lang w:val="en-US" w:eastAsia="en-US"/>
              </w:rPr>
              <w:t xml:space="preserve">Banca calculează cuantumurile ponderate la risc ale expunerilor din tranzacţii cu CPC </w:t>
            </w:r>
            <w:bookmarkStart w:id="81" w:name="_Hlk206058582"/>
            <w:r w:rsidRPr="00A96E09">
              <w:rPr>
                <w:bCs/>
                <w:sz w:val="18"/>
                <w:szCs w:val="18"/>
                <w:lang w:val="en-US" w:eastAsia="en-US"/>
              </w:rPr>
              <w:t xml:space="preserve">conform prevederilor Regulamentului nr.109/2018 </w:t>
            </w:r>
            <w:bookmarkEnd w:id="81"/>
            <w:r w:rsidRPr="00A96E09">
              <w:rPr>
                <w:bCs/>
                <w:sz w:val="18"/>
                <w:szCs w:val="18"/>
                <w:lang w:val="en-US" w:eastAsia="en-US"/>
              </w:rPr>
              <w:t xml:space="preserve">înmulţind suma valorilor expunerilor sale din tranzacţii cu CPC, calculate în conformitate cu punctele 146 și 147, cu </w:t>
            </w:r>
            <w:r w:rsidRPr="00A96E09">
              <w:rPr>
                <w:bCs/>
                <w:sz w:val="18"/>
                <w:szCs w:val="18"/>
                <w:lang w:val="en-US" w:eastAsia="en-US"/>
              </w:rPr>
              <w:lastRenderedPageBreak/>
              <w:t>ponderea de risc determinată în conformitate cu punctul 145.</w:t>
            </w:r>
          </w:p>
          <w:p w14:paraId="1E126D4F" w14:textId="77777777" w:rsidR="00236954" w:rsidRDefault="00236954" w:rsidP="00236954">
            <w:pPr>
              <w:tabs>
                <w:tab w:val="left" w:pos="0"/>
                <w:tab w:val="left" w:pos="144"/>
                <w:tab w:val="left" w:pos="569"/>
                <w:tab w:val="left" w:pos="1134"/>
              </w:tabs>
              <w:spacing w:after="160" w:line="259" w:lineRule="auto"/>
              <w:ind w:left="426"/>
              <w:contextualSpacing/>
              <w:rPr>
                <w:bCs/>
                <w:sz w:val="18"/>
                <w:szCs w:val="18"/>
                <w:lang w:val="ro-MD" w:eastAsia="en-US"/>
              </w:rPr>
            </w:pPr>
          </w:p>
          <w:p w14:paraId="6F90FFE1" w14:textId="43F8402C" w:rsidR="00236954" w:rsidRPr="00A96E09" w:rsidRDefault="00236954" w:rsidP="00236954">
            <w:pPr>
              <w:tabs>
                <w:tab w:val="left" w:pos="0"/>
                <w:tab w:val="left" w:pos="144"/>
                <w:tab w:val="left" w:pos="569"/>
                <w:tab w:val="left" w:pos="1134"/>
              </w:tabs>
              <w:spacing w:after="160" w:line="259" w:lineRule="auto"/>
              <w:contextualSpacing/>
              <w:rPr>
                <w:b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28B54B82" w14:textId="71C3524E" w:rsidR="00236954" w:rsidRPr="00A96E09" w:rsidRDefault="00236954" w:rsidP="00236954">
            <w:pPr>
              <w:jc w:val="both"/>
              <w:rPr>
                <w:sz w:val="18"/>
                <w:szCs w:val="18"/>
                <w:lang w:val="ro-MD"/>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02858B7F" w14:textId="76F3B6A8" w:rsidR="00236954" w:rsidRPr="00A96E09" w:rsidRDefault="00236954" w:rsidP="00236954">
            <w:pPr>
              <w:jc w:val="both"/>
              <w:rPr>
                <w:sz w:val="18"/>
                <w:szCs w:val="18"/>
                <w:lang w:val="ro-MD"/>
              </w:rPr>
            </w:pPr>
          </w:p>
        </w:tc>
      </w:tr>
      <w:tr w:rsidR="00236954" w:rsidRPr="00A96E09" w14:paraId="195124B3" w14:textId="77777777" w:rsidTr="00C14AF6">
        <w:trPr>
          <w:trHeight w:val="918"/>
        </w:trPr>
        <w:tc>
          <w:tcPr>
            <w:tcW w:w="3866" w:type="dxa"/>
          </w:tcPr>
          <w:p w14:paraId="24620254" w14:textId="77084C00"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307 </w:t>
            </w:r>
            <w:r w:rsidRPr="00A96E09">
              <w:rPr>
                <w:rFonts w:eastAsiaTheme="minorHAnsi"/>
                <w:b/>
                <w:bCs/>
                <w:color w:val="000000"/>
                <w:sz w:val="18"/>
                <w:szCs w:val="18"/>
                <w:lang w:val="ro-MD" w:eastAsia="en-US"/>
              </w:rPr>
              <w:t xml:space="preserve">Cerinţele de fonduri proprii pentru contribuţiile la fondul de garantare al unei CPC </w:t>
            </w:r>
          </w:p>
          <w:p w14:paraId="5F00220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O instituţie care acţionează ca membru compensator aplică următorul tratament expunerilor sale rezultate din contribuţiile sale la fondul de garantare al unei CPC: </w:t>
            </w:r>
          </w:p>
          <w:p w14:paraId="2326A51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calculează cerinţa de fonduri proprii pentru contribuţiile sale prefinanţate la fondul de garantare al unei CPCC în conformitate cu abordarea prevăzută la articolul 308; </w:t>
            </w:r>
          </w:p>
          <w:p w14:paraId="1C98137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calculează cerinţa de fonduri proprii pentru contribuţiile sale prefinanţate și nefinanţate la fondul de garantare al unei CPC necalificate în conformitate cu abordarea prevăzută la articolul 309; </w:t>
            </w:r>
          </w:p>
          <w:p w14:paraId="3B308A2F" w14:textId="112F60E0"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r w:rsidRPr="00A96E09">
              <w:rPr>
                <w:rFonts w:eastAsiaTheme="minorHAnsi"/>
                <w:color w:val="000000"/>
                <w:sz w:val="18"/>
                <w:szCs w:val="18"/>
                <w:lang w:val="ro-MD"/>
              </w:rPr>
              <w:t>(c) calculează cerinţa de fonduri proprii pentru contribuţiile sale nefinanţate la fondul de garantare al unei CPCC în conformitate cu abordarea prevăzută la articolul 310.</w:t>
            </w:r>
          </w:p>
        </w:tc>
        <w:tc>
          <w:tcPr>
            <w:tcW w:w="4356" w:type="dxa"/>
          </w:tcPr>
          <w:p w14:paraId="09DCCCD0" w14:textId="77777777" w:rsidR="00236954" w:rsidRPr="00A96E09" w:rsidRDefault="00236954" w:rsidP="00236954">
            <w:pPr>
              <w:numPr>
                <w:ilvl w:val="0"/>
                <w:numId w:val="37"/>
              </w:numPr>
              <w:tabs>
                <w:tab w:val="left" w:pos="0"/>
                <w:tab w:val="left" w:pos="144"/>
                <w:tab w:val="left" w:pos="414"/>
              </w:tabs>
              <w:spacing w:after="160" w:line="259" w:lineRule="auto"/>
              <w:ind w:left="0" w:firstLine="2"/>
              <w:contextualSpacing/>
              <w:rPr>
                <w:bCs/>
                <w:sz w:val="18"/>
                <w:szCs w:val="18"/>
                <w:lang w:val="ro-MD" w:eastAsia="en-US"/>
              </w:rPr>
            </w:pPr>
            <w:bookmarkStart w:id="82" w:name="_Ref169674173"/>
            <w:r w:rsidRPr="00A96E09">
              <w:rPr>
                <w:bCs/>
                <w:sz w:val="18"/>
                <w:szCs w:val="18"/>
                <w:lang w:val="ro-MD" w:eastAsia="en-US"/>
              </w:rPr>
              <w:t>Banca care acţionează ca membru compensator aplică următorul tratament expunerilor sale rezultate din contribuţiile sale la fondul de garantare al unei CPC:</w:t>
            </w:r>
            <w:bookmarkEnd w:id="82"/>
          </w:p>
          <w:p w14:paraId="76A9F1D2" w14:textId="0966C484" w:rsidR="00236954" w:rsidRPr="00A96E09" w:rsidRDefault="00236954" w:rsidP="00236954">
            <w:pPr>
              <w:numPr>
                <w:ilvl w:val="1"/>
                <w:numId w:val="37"/>
              </w:numPr>
              <w:tabs>
                <w:tab w:val="left" w:pos="0"/>
                <w:tab w:val="left" w:pos="144"/>
                <w:tab w:val="left" w:pos="569"/>
              </w:tabs>
              <w:spacing w:after="160" w:line="259" w:lineRule="auto"/>
              <w:ind w:left="0" w:firstLine="2"/>
              <w:contextualSpacing/>
              <w:rPr>
                <w:bCs/>
                <w:sz w:val="18"/>
                <w:szCs w:val="18"/>
                <w:lang w:val="ro-MD" w:eastAsia="en-US"/>
              </w:rPr>
            </w:pPr>
            <w:r w:rsidRPr="00A96E09">
              <w:rPr>
                <w:bCs/>
                <w:sz w:val="18"/>
                <w:szCs w:val="18"/>
                <w:lang w:val="ro-MD" w:eastAsia="en-US"/>
              </w:rPr>
              <w:t>calculează cerinţa de fonduri proprii pentru contribuţiile sale prefinanţate la fondul de garantare al unei CPCC în conformitate cu abordarea prevăzută la punctele 150-152;</w:t>
            </w:r>
          </w:p>
          <w:p w14:paraId="70AEF036" w14:textId="2B9620DC" w:rsidR="00236954" w:rsidRPr="00A96E09" w:rsidRDefault="00236954" w:rsidP="00236954">
            <w:pPr>
              <w:numPr>
                <w:ilvl w:val="1"/>
                <w:numId w:val="37"/>
              </w:numPr>
              <w:tabs>
                <w:tab w:val="left" w:pos="0"/>
                <w:tab w:val="left" w:pos="144"/>
                <w:tab w:val="left" w:pos="569"/>
              </w:tabs>
              <w:spacing w:after="160" w:line="259" w:lineRule="auto"/>
              <w:ind w:left="0" w:firstLine="2"/>
              <w:contextualSpacing/>
              <w:rPr>
                <w:bCs/>
                <w:sz w:val="18"/>
                <w:szCs w:val="18"/>
                <w:lang w:val="ro-MD" w:eastAsia="en-US"/>
              </w:rPr>
            </w:pPr>
            <w:r w:rsidRPr="00A96E09">
              <w:rPr>
                <w:bCs/>
                <w:sz w:val="18"/>
                <w:szCs w:val="18"/>
                <w:lang w:val="ro-MD" w:eastAsia="en-US"/>
              </w:rPr>
              <w:t>calculează cerinţa de fonduri proprii pentru contribuţiile sale prefinanţate și nefinanţate la fondul de garantare al unei CPC necalificate în conformitate cu abordarea prevăzută la punctele 153 și 154;</w:t>
            </w:r>
          </w:p>
          <w:p w14:paraId="39A577E5" w14:textId="77777777" w:rsidR="00236954" w:rsidRDefault="00236954" w:rsidP="00236954">
            <w:pPr>
              <w:tabs>
                <w:tab w:val="left" w:pos="0"/>
              </w:tabs>
              <w:ind w:firstLine="2"/>
              <w:rPr>
                <w:bCs/>
                <w:sz w:val="18"/>
                <w:szCs w:val="18"/>
                <w:lang w:val="ro-MD" w:eastAsia="en-US"/>
              </w:rPr>
            </w:pPr>
            <w:r w:rsidRPr="00A96E09">
              <w:rPr>
                <w:bCs/>
                <w:sz w:val="18"/>
                <w:szCs w:val="18"/>
                <w:lang w:val="ro-MD" w:eastAsia="en-US"/>
              </w:rPr>
              <w:t>149.3. calculează cerinţa de fonduri proprii pentru contribuţiile sale nefinanţate la fondul de garantare al unei CPCC în conformitate cu abordarea prevăzută la punctul 155.</w:t>
            </w:r>
          </w:p>
          <w:p w14:paraId="2D55B53D" w14:textId="77777777" w:rsidR="00236954" w:rsidRDefault="00236954" w:rsidP="00236954">
            <w:pPr>
              <w:tabs>
                <w:tab w:val="left" w:pos="0"/>
              </w:tabs>
              <w:ind w:firstLine="2"/>
              <w:rPr>
                <w:bCs/>
                <w:sz w:val="18"/>
                <w:szCs w:val="18"/>
                <w:lang w:val="ro-MD" w:eastAsia="en-US"/>
              </w:rPr>
            </w:pPr>
          </w:p>
          <w:p w14:paraId="1E62836B" w14:textId="77777777" w:rsidR="00236954" w:rsidRDefault="00236954" w:rsidP="00236954">
            <w:pPr>
              <w:tabs>
                <w:tab w:val="left" w:pos="0"/>
              </w:tabs>
              <w:ind w:firstLine="2"/>
              <w:rPr>
                <w:bCs/>
                <w:sz w:val="18"/>
                <w:szCs w:val="18"/>
                <w:lang w:val="ro-MD" w:eastAsia="en-US"/>
              </w:rPr>
            </w:pPr>
          </w:p>
          <w:p w14:paraId="0CDB3F7D" w14:textId="77777777" w:rsidR="00236954" w:rsidRDefault="00236954" w:rsidP="00236954">
            <w:pPr>
              <w:tabs>
                <w:tab w:val="left" w:pos="0"/>
              </w:tabs>
              <w:ind w:firstLine="2"/>
              <w:rPr>
                <w:bCs/>
                <w:sz w:val="18"/>
                <w:szCs w:val="18"/>
                <w:lang w:val="ro-MD" w:eastAsia="en-US"/>
              </w:rPr>
            </w:pPr>
          </w:p>
          <w:p w14:paraId="00FE1DA4" w14:textId="77777777" w:rsidR="00236954" w:rsidRDefault="00236954" w:rsidP="00236954">
            <w:pPr>
              <w:tabs>
                <w:tab w:val="left" w:pos="0"/>
              </w:tabs>
              <w:ind w:firstLine="2"/>
              <w:rPr>
                <w:bCs/>
                <w:sz w:val="18"/>
                <w:szCs w:val="18"/>
                <w:lang w:val="ro-MD" w:eastAsia="en-US"/>
              </w:rPr>
            </w:pPr>
          </w:p>
          <w:p w14:paraId="50321214" w14:textId="521F55A2" w:rsidR="00236954" w:rsidRPr="00A96E09" w:rsidRDefault="00236954" w:rsidP="00236954">
            <w:pPr>
              <w:tabs>
                <w:tab w:val="left" w:pos="0"/>
              </w:tabs>
              <w:ind w:firstLine="2"/>
              <w:rPr>
                <w:bCs/>
                <w:i/>
                <w:i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2BEC5D69" w14:textId="66D2CDBF" w:rsidR="00236954" w:rsidRPr="00A96E09" w:rsidRDefault="00236954" w:rsidP="00236954">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12D6DC63" w14:textId="77777777" w:rsidR="00236954" w:rsidRPr="00A96E09" w:rsidRDefault="00236954" w:rsidP="00236954">
            <w:pPr>
              <w:jc w:val="both"/>
              <w:rPr>
                <w:sz w:val="18"/>
                <w:szCs w:val="18"/>
                <w:lang w:val="ro-MD"/>
              </w:rPr>
            </w:pPr>
          </w:p>
        </w:tc>
      </w:tr>
      <w:tr w:rsidR="00236954" w:rsidRPr="00EB7E01" w14:paraId="4E23F6F7" w14:textId="77777777" w:rsidTr="00C14AF6">
        <w:trPr>
          <w:trHeight w:val="918"/>
        </w:trPr>
        <w:tc>
          <w:tcPr>
            <w:tcW w:w="3866" w:type="dxa"/>
          </w:tcPr>
          <w:p w14:paraId="3378E091" w14:textId="402C0B2D"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t xml:space="preserve">Articolul 308 </w:t>
            </w:r>
            <w:r w:rsidRPr="00A96E09">
              <w:rPr>
                <w:rFonts w:eastAsiaTheme="minorHAnsi"/>
                <w:b/>
                <w:bCs/>
                <w:color w:val="000000"/>
                <w:sz w:val="18"/>
                <w:szCs w:val="18"/>
                <w:lang w:val="ro-MD" w:eastAsia="en-US"/>
              </w:rPr>
              <w:t xml:space="preserve">Cerinţele de fonduri proprii pentru contribuţiile prefinanţate la fondul de garantare al unei CPCC </w:t>
            </w:r>
          </w:p>
          <w:p w14:paraId="3F4BDEF0"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Valoarea expunerii aferente contribuţiei prefinanţate (DFi) a unei instituţii la fondul de garantare al unei CPCC reprezintă suma plătită sau valoarea de piaţă a activelor furnizate de instituţia respectivă din care se scade orice sumă din contribuţia respectivă pe care CPCC a utilizat-o deja pentru a-și absorbi pierderile cauzate de intrarea în stare de nerambursare a unuia sau a mai multora dintre membrii săi compensatori. </w:t>
            </w:r>
          </w:p>
          <w:p w14:paraId="5CB462DF"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lastRenderedPageBreak/>
              <w:t>(2) O instituţie calculează cerinţa de fonduri proprii pentru a acoperi expunerea provenind din contribuţia sa prefinanţată după cum urmează:</w:t>
            </w:r>
          </w:p>
          <w:p w14:paraId="0F41DC0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noProof/>
                <w:sz w:val="18"/>
                <w:szCs w:val="18"/>
              </w:rPr>
              <w:drawing>
                <wp:inline distT="0" distB="0" distL="0" distR="0" wp14:anchorId="1F87EA3C" wp14:editId="3C31CE66">
                  <wp:extent cx="2401799" cy="295275"/>
                  <wp:effectExtent l="0" t="0" r="0" b="0"/>
                  <wp:docPr id="412340992"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43254" cy="300371"/>
                          </a:xfrm>
                          <a:prstGeom prst="rect">
                            <a:avLst/>
                          </a:prstGeom>
                          <a:noFill/>
                          <a:ln>
                            <a:noFill/>
                          </a:ln>
                        </pic:spPr>
                      </pic:pic>
                    </a:graphicData>
                  </a:graphic>
                </wp:inline>
              </w:drawing>
            </w:r>
          </w:p>
          <w:p w14:paraId="6CA1E7C7"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unde: </w:t>
            </w:r>
          </w:p>
          <w:p w14:paraId="1A45C03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Ki = cerinţa de fonduri proprii; </w:t>
            </w:r>
          </w:p>
          <w:p w14:paraId="00EAFE3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i = indicele care desemnează membrul compensator; </w:t>
            </w:r>
          </w:p>
          <w:p w14:paraId="5227DC8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K CCP = capitalul ipotetic al CPCC comunicat instituţiei de CPCC în conformitate cu articolul 50c din Regulamentul (UE) nr. 648/2012; </w:t>
            </w:r>
          </w:p>
          <w:p w14:paraId="5E43D845"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DF i = contribuţia prefinanţată; </w:t>
            </w:r>
          </w:p>
          <w:p w14:paraId="6BCCC154"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DF CCP = resursele financiare prefinanţate ale CPC comunicate instituţiei de CPC în conformitate cu articolul 50c din Regulamentul (UE) nr. 648/2012; și </w:t>
            </w:r>
          </w:p>
          <w:p w14:paraId="2921B3C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DF CM = suma contribuţiilor prefinanţate ale tuturor membrilor compensatori ai CPCC comunicată instituţiei de CPCC în conformitate cu articolul 50c din Regulamentul (UE) nr. 648/2012. </w:t>
            </w:r>
          </w:p>
          <w:p w14:paraId="75451323" w14:textId="0CFB4B64"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r w:rsidRPr="00A96E09">
              <w:rPr>
                <w:rFonts w:eastAsiaTheme="minorHAnsi"/>
                <w:color w:val="000000"/>
                <w:sz w:val="18"/>
                <w:szCs w:val="18"/>
                <w:lang w:val="ro-MD"/>
              </w:rPr>
              <w:t>(3) O instituţie calculează valorile ponderate la risc ale expunerilor pentru expunerile rezultate din contribuţia prefinanţată a instituţiei respective la fondul de garantare al unei CPCC în sensul articolului 92 alineatul (3) prin înmulţirea cu 12,5 a cerinţei de fonduri proprii calculate în conformitate cu alineatul (2) de la prezentul articol.</w:t>
            </w:r>
          </w:p>
        </w:tc>
        <w:tc>
          <w:tcPr>
            <w:tcW w:w="4356" w:type="dxa"/>
          </w:tcPr>
          <w:p w14:paraId="5DC7E749" w14:textId="3642E64E" w:rsidR="00236954" w:rsidRPr="00A96E09" w:rsidRDefault="00236954" w:rsidP="00236954">
            <w:pPr>
              <w:jc w:val="center"/>
              <w:rPr>
                <w:bCs/>
                <w:i/>
                <w:iCs/>
                <w:sz w:val="18"/>
                <w:szCs w:val="18"/>
                <w:lang w:val="ro-MD"/>
              </w:rPr>
            </w:pPr>
            <w:bookmarkStart w:id="83" w:name="_Hlk163077956"/>
            <w:r w:rsidRPr="00A96E09">
              <w:rPr>
                <w:bCs/>
                <w:i/>
                <w:iCs/>
                <w:sz w:val="18"/>
                <w:szCs w:val="18"/>
                <w:lang w:val="ro-MD"/>
              </w:rPr>
              <w:lastRenderedPageBreak/>
              <w:t>Secţiunea a 7-a</w:t>
            </w:r>
          </w:p>
          <w:bookmarkEnd w:id="83"/>
          <w:p w14:paraId="5900B941" w14:textId="77777777" w:rsidR="00236954" w:rsidRPr="00A96E09" w:rsidRDefault="00236954" w:rsidP="00236954">
            <w:pPr>
              <w:jc w:val="center"/>
              <w:rPr>
                <w:b/>
                <w:sz w:val="18"/>
                <w:szCs w:val="18"/>
                <w:lang w:val="ro-MD"/>
              </w:rPr>
            </w:pPr>
            <w:r w:rsidRPr="00A96E09">
              <w:rPr>
                <w:b/>
                <w:sz w:val="18"/>
                <w:szCs w:val="18"/>
                <w:lang w:val="ro-MD"/>
              </w:rPr>
              <w:t>Cerinţele de fonduri proprii pentru contribuţiile prefinanţate la fondul de garantare al unei CPCC</w:t>
            </w:r>
          </w:p>
          <w:p w14:paraId="0BCFD55F" w14:textId="74A540D8" w:rsidR="00236954" w:rsidRPr="00A96E09" w:rsidRDefault="00236954" w:rsidP="00236954">
            <w:pPr>
              <w:jc w:val="both"/>
              <w:rPr>
                <w:b/>
                <w:sz w:val="18"/>
                <w:szCs w:val="18"/>
                <w:lang w:val="ro-MD"/>
              </w:rPr>
            </w:pPr>
            <w:r w:rsidRPr="00A96E09">
              <w:rPr>
                <w:b/>
                <w:sz w:val="18"/>
                <w:szCs w:val="18"/>
                <w:lang w:val="ro-MD"/>
              </w:rPr>
              <w:t xml:space="preserve">150. </w:t>
            </w:r>
            <w:r w:rsidRPr="00A96E09">
              <w:rPr>
                <w:bCs/>
                <w:sz w:val="18"/>
                <w:szCs w:val="18"/>
                <w:lang w:val="ro-MD"/>
              </w:rPr>
              <w:t>Valoarea expunerii aferente contribuţiei prefinanţate (DFi) a unei bănci la fondul de garantare al unei CPCC reprezintă suma plătită sau valoarea de piaţă a activelor furnizate de banca respectivă din care se scade orice sumă din contribuţia respectivă pe care CPCC a utilizat-o deja pentru a-și absorbi pierderile cauzate de intrarea în stare de nerambursare a unuia sau a mai multora dintre membrii săi compensatori.</w:t>
            </w:r>
          </w:p>
          <w:p w14:paraId="3F39606C" w14:textId="08760D9F"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b/>
                <w:bCs/>
                <w:color w:val="000000"/>
                <w:sz w:val="18"/>
                <w:szCs w:val="18"/>
              </w:rPr>
              <w:lastRenderedPageBreak/>
              <w:t>151.</w:t>
            </w:r>
            <w:r w:rsidRPr="00A96E09">
              <w:rPr>
                <w:rFonts w:ascii="Times New Roman" w:hAnsi="Times New Roman"/>
                <w:color w:val="000000"/>
                <w:sz w:val="18"/>
                <w:szCs w:val="18"/>
              </w:rPr>
              <w:t xml:space="preserve"> Banca calculează cerinţa de fonduri proprii pentru </w:t>
            </w:r>
            <w:proofErr w:type="gramStart"/>
            <w:r w:rsidRPr="00A96E09">
              <w:rPr>
                <w:rFonts w:ascii="Times New Roman" w:hAnsi="Times New Roman"/>
                <w:color w:val="000000"/>
                <w:sz w:val="18"/>
                <w:szCs w:val="18"/>
              </w:rPr>
              <w:t>a</w:t>
            </w:r>
            <w:proofErr w:type="gramEnd"/>
            <w:r w:rsidRPr="00A96E09">
              <w:rPr>
                <w:rFonts w:ascii="Times New Roman" w:hAnsi="Times New Roman"/>
                <w:color w:val="000000"/>
                <w:sz w:val="18"/>
                <w:szCs w:val="18"/>
              </w:rPr>
              <w:t xml:space="preserve"> acoperi expunerea provenind din contribuţia sa prefinanţată după cum urmează: </w:t>
            </w:r>
          </w:p>
          <w:p w14:paraId="1734F0F2" w14:textId="77777777" w:rsidR="00236954" w:rsidRPr="00A96E09" w:rsidRDefault="00236954" w:rsidP="00236954">
            <w:pPr>
              <w:jc w:val="center"/>
              <w:rPr>
                <w:sz w:val="18"/>
                <w:szCs w:val="18"/>
              </w:rPr>
            </w:pPr>
            <w:r w:rsidRPr="00A96E09">
              <w:rPr>
                <w:noProof/>
                <w:sz w:val="18"/>
                <w:szCs w:val="18"/>
              </w:rPr>
              <w:drawing>
                <wp:inline distT="0" distB="0" distL="0" distR="0" wp14:anchorId="2F8F48DF" wp14:editId="26EB6E5A">
                  <wp:extent cx="2401799" cy="295275"/>
                  <wp:effectExtent l="0" t="0" r="0" b="0"/>
                  <wp:docPr id="1573725643"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443254" cy="300371"/>
                          </a:xfrm>
                          <a:prstGeom prst="rect">
                            <a:avLst/>
                          </a:prstGeom>
                          <a:noFill/>
                          <a:ln>
                            <a:noFill/>
                          </a:ln>
                        </pic:spPr>
                      </pic:pic>
                    </a:graphicData>
                  </a:graphic>
                </wp:inline>
              </w:drawing>
            </w:r>
          </w:p>
          <w:p w14:paraId="650C21FE"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unde: </w:t>
            </w:r>
          </w:p>
          <w:p w14:paraId="1D810250"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K</w:t>
            </w:r>
            <w:r w:rsidRPr="00A96E09">
              <w:rPr>
                <w:rFonts w:ascii="Times New Roman" w:hAnsi="Times New Roman"/>
                <w:color w:val="000000"/>
                <w:sz w:val="18"/>
                <w:szCs w:val="18"/>
                <w:vertAlign w:val="subscript"/>
              </w:rPr>
              <w:t xml:space="preserve">i </w:t>
            </w:r>
            <w:r w:rsidRPr="00A96E09">
              <w:rPr>
                <w:rFonts w:ascii="Times New Roman" w:hAnsi="Times New Roman"/>
                <w:color w:val="000000"/>
                <w:sz w:val="18"/>
                <w:szCs w:val="18"/>
              </w:rPr>
              <w:t xml:space="preserve">= cerinţa de fonduri </w:t>
            </w:r>
            <w:proofErr w:type="gramStart"/>
            <w:r w:rsidRPr="00A96E09">
              <w:rPr>
                <w:rFonts w:ascii="Times New Roman" w:hAnsi="Times New Roman"/>
                <w:color w:val="000000"/>
                <w:sz w:val="18"/>
                <w:szCs w:val="18"/>
              </w:rPr>
              <w:t>proprii;</w:t>
            </w:r>
            <w:proofErr w:type="gramEnd"/>
            <w:r w:rsidRPr="00A96E09">
              <w:rPr>
                <w:rFonts w:ascii="Times New Roman" w:hAnsi="Times New Roman"/>
                <w:color w:val="000000"/>
                <w:sz w:val="18"/>
                <w:szCs w:val="18"/>
              </w:rPr>
              <w:t xml:space="preserve"> </w:t>
            </w:r>
          </w:p>
          <w:p w14:paraId="79428642"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 xml:space="preserve">i = indicele care desemnează membrul </w:t>
            </w:r>
            <w:proofErr w:type="gramStart"/>
            <w:r w:rsidRPr="00A96E09">
              <w:rPr>
                <w:rFonts w:ascii="Times New Roman" w:hAnsi="Times New Roman"/>
                <w:color w:val="000000"/>
                <w:sz w:val="18"/>
                <w:szCs w:val="18"/>
              </w:rPr>
              <w:t>compensator;</w:t>
            </w:r>
            <w:proofErr w:type="gramEnd"/>
            <w:r w:rsidRPr="00A96E09">
              <w:rPr>
                <w:rFonts w:ascii="Times New Roman" w:hAnsi="Times New Roman"/>
                <w:color w:val="000000"/>
                <w:sz w:val="18"/>
                <w:szCs w:val="18"/>
              </w:rPr>
              <w:t xml:space="preserve"> </w:t>
            </w:r>
          </w:p>
          <w:p w14:paraId="082591F5"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K</w:t>
            </w:r>
            <w:r w:rsidRPr="00A96E09">
              <w:rPr>
                <w:rFonts w:ascii="Times New Roman" w:hAnsi="Times New Roman"/>
                <w:color w:val="000000"/>
                <w:sz w:val="18"/>
                <w:szCs w:val="18"/>
                <w:vertAlign w:val="subscript"/>
              </w:rPr>
              <w:t xml:space="preserve">CCP </w:t>
            </w:r>
            <w:r w:rsidRPr="00A96E09">
              <w:rPr>
                <w:rFonts w:ascii="Times New Roman" w:hAnsi="Times New Roman"/>
                <w:color w:val="000000"/>
                <w:sz w:val="18"/>
                <w:szCs w:val="18"/>
              </w:rPr>
              <w:t xml:space="preserve">= capitalul ipotetic al CPCC comunicat băncii de </w:t>
            </w:r>
            <w:proofErr w:type="gramStart"/>
            <w:r w:rsidRPr="00A96E09">
              <w:rPr>
                <w:rFonts w:ascii="Times New Roman" w:hAnsi="Times New Roman"/>
                <w:color w:val="000000"/>
                <w:sz w:val="18"/>
                <w:szCs w:val="18"/>
              </w:rPr>
              <w:t>CPCC;</w:t>
            </w:r>
            <w:proofErr w:type="gramEnd"/>
          </w:p>
          <w:p w14:paraId="245D20C6"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DF</w:t>
            </w:r>
            <w:r w:rsidRPr="00A96E09">
              <w:rPr>
                <w:rFonts w:ascii="Times New Roman" w:hAnsi="Times New Roman"/>
                <w:color w:val="000000"/>
                <w:sz w:val="18"/>
                <w:szCs w:val="18"/>
                <w:vertAlign w:val="subscript"/>
              </w:rPr>
              <w:t>i</w:t>
            </w:r>
            <w:r w:rsidRPr="00A96E09">
              <w:rPr>
                <w:rFonts w:ascii="Times New Roman" w:hAnsi="Times New Roman"/>
                <w:color w:val="000000"/>
                <w:sz w:val="18"/>
                <w:szCs w:val="18"/>
              </w:rPr>
              <w:t xml:space="preserve"> = contribuţia </w:t>
            </w:r>
            <w:proofErr w:type="gramStart"/>
            <w:r w:rsidRPr="00A96E09">
              <w:rPr>
                <w:rFonts w:ascii="Times New Roman" w:hAnsi="Times New Roman"/>
                <w:color w:val="000000"/>
                <w:sz w:val="18"/>
                <w:szCs w:val="18"/>
              </w:rPr>
              <w:t>prefinanţată;</w:t>
            </w:r>
            <w:proofErr w:type="gramEnd"/>
            <w:r w:rsidRPr="00A96E09">
              <w:rPr>
                <w:rFonts w:ascii="Times New Roman" w:hAnsi="Times New Roman"/>
                <w:color w:val="000000"/>
                <w:sz w:val="18"/>
                <w:szCs w:val="18"/>
              </w:rPr>
              <w:t xml:space="preserve"> </w:t>
            </w:r>
          </w:p>
          <w:p w14:paraId="23BF0B52"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DF</w:t>
            </w:r>
            <w:r w:rsidRPr="00A96E09">
              <w:rPr>
                <w:rFonts w:ascii="Times New Roman" w:hAnsi="Times New Roman"/>
                <w:color w:val="000000"/>
                <w:sz w:val="18"/>
                <w:szCs w:val="18"/>
                <w:vertAlign w:val="subscript"/>
              </w:rPr>
              <w:t>CCP</w:t>
            </w:r>
            <w:r w:rsidRPr="00A96E09">
              <w:rPr>
                <w:rFonts w:ascii="Times New Roman" w:hAnsi="Times New Roman"/>
                <w:color w:val="000000"/>
                <w:sz w:val="18"/>
                <w:szCs w:val="18"/>
              </w:rPr>
              <w:t xml:space="preserve"> = resursele financiare prefinanţate ale CPC comunicate băncii de CPC; și </w:t>
            </w:r>
          </w:p>
          <w:p w14:paraId="732215E3" w14:textId="77777777" w:rsidR="00236954" w:rsidRPr="00A96E09" w:rsidRDefault="00236954" w:rsidP="00236954">
            <w:pPr>
              <w:pStyle w:val="CM4"/>
              <w:spacing w:before="60" w:after="60"/>
              <w:jc w:val="both"/>
              <w:rPr>
                <w:rFonts w:ascii="Times New Roman" w:hAnsi="Times New Roman"/>
                <w:color w:val="000000"/>
                <w:sz w:val="18"/>
                <w:szCs w:val="18"/>
              </w:rPr>
            </w:pPr>
            <w:r w:rsidRPr="00A96E09">
              <w:rPr>
                <w:rFonts w:ascii="Times New Roman" w:hAnsi="Times New Roman"/>
                <w:color w:val="000000"/>
                <w:sz w:val="18"/>
                <w:szCs w:val="18"/>
              </w:rPr>
              <w:t>DF</w:t>
            </w:r>
            <w:r w:rsidRPr="00A96E09">
              <w:rPr>
                <w:rFonts w:ascii="Times New Roman" w:hAnsi="Times New Roman"/>
                <w:color w:val="000000"/>
                <w:sz w:val="18"/>
                <w:szCs w:val="18"/>
                <w:vertAlign w:val="subscript"/>
              </w:rPr>
              <w:t>CM</w:t>
            </w:r>
            <w:r w:rsidRPr="00A96E09">
              <w:rPr>
                <w:rFonts w:ascii="Times New Roman" w:hAnsi="Times New Roman"/>
                <w:color w:val="000000"/>
                <w:sz w:val="18"/>
                <w:szCs w:val="18"/>
              </w:rPr>
              <w:t xml:space="preserve"> = suma contribuţiilor prefinanţate ale tuturor membrilor compensatori ai CPCC comunicată băncii de CPCC.</w:t>
            </w:r>
          </w:p>
          <w:p w14:paraId="1D4701D7" w14:textId="4ECB14F4" w:rsidR="00236954" w:rsidRPr="00A96E09" w:rsidRDefault="00236954" w:rsidP="00236954">
            <w:pPr>
              <w:autoSpaceDE w:val="0"/>
              <w:autoSpaceDN w:val="0"/>
              <w:adjustRightInd w:val="0"/>
              <w:ind w:firstLine="2"/>
              <w:jc w:val="both"/>
              <w:rPr>
                <w:rFonts w:eastAsiaTheme="minorHAnsi"/>
                <w:color w:val="000000"/>
                <w:sz w:val="18"/>
                <w:szCs w:val="18"/>
                <w:lang w:val="ro-MD" w:eastAsia="en-US"/>
                <w14:ligatures w14:val="standardContextual"/>
              </w:rPr>
            </w:pPr>
            <w:r w:rsidRPr="00A96E09">
              <w:rPr>
                <w:rFonts w:eastAsiaTheme="minorHAnsi"/>
                <w:b/>
                <w:bCs/>
                <w:color w:val="000000"/>
                <w:sz w:val="18"/>
                <w:szCs w:val="18"/>
                <w:lang w:val="ro-MD" w:eastAsia="en-US"/>
                <w14:ligatures w14:val="standardContextual"/>
              </w:rPr>
              <w:t xml:space="preserve">152. </w:t>
            </w:r>
            <w:r w:rsidRPr="00A96E09">
              <w:rPr>
                <w:rFonts w:eastAsiaTheme="minorHAnsi"/>
                <w:color w:val="000000"/>
                <w:sz w:val="18"/>
                <w:szCs w:val="18"/>
                <w:lang w:val="en-US" w:eastAsia="en-US"/>
                <w14:ligatures w14:val="standardContextual"/>
              </w:rPr>
              <w:t xml:space="preserve">Banca calculează valorile ponderate la risc ale expunerilor rezultate din contribuţia prefinanţată a băncii respective la fondul de garantare al unei CPCC </w:t>
            </w:r>
            <w:bookmarkStart w:id="84" w:name="_Hlk206058839"/>
            <w:r w:rsidRPr="00A96E09">
              <w:rPr>
                <w:rFonts w:eastAsiaTheme="minorHAnsi"/>
                <w:bCs/>
                <w:color w:val="000000"/>
                <w:sz w:val="18"/>
                <w:szCs w:val="18"/>
                <w:lang w:val="en-US" w:eastAsia="en-US"/>
                <w14:ligatures w14:val="standardContextual"/>
              </w:rPr>
              <w:t>conform prevederilor Regulamentului nr.109/2018</w:t>
            </w:r>
            <w:bookmarkEnd w:id="84"/>
            <w:r w:rsidRPr="00A96E09">
              <w:rPr>
                <w:rFonts w:eastAsiaTheme="minorHAnsi"/>
                <w:bCs/>
                <w:color w:val="000000"/>
                <w:sz w:val="18"/>
                <w:szCs w:val="18"/>
                <w:lang w:val="en-US" w:eastAsia="en-US"/>
                <w14:ligatures w14:val="standardContextual"/>
              </w:rPr>
              <w:t xml:space="preserve"> </w:t>
            </w:r>
            <w:r w:rsidRPr="00A96E09">
              <w:rPr>
                <w:rFonts w:eastAsiaTheme="minorHAnsi"/>
                <w:color w:val="000000"/>
                <w:sz w:val="18"/>
                <w:szCs w:val="18"/>
                <w:lang w:val="en-US" w:eastAsia="en-US"/>
                <w14:ligatures w14:val="standardContextual"/>
              </w:rPr>
              <w:t>prin înmulţirea cu 10 a cerinţei de fonduri proprii calculate în conformitate cu punctul 151.</w:t>
            </w:r>
          </w:p>
          <w:p w14:paraId="07228E7A" w14:textId="77777777" w:rsidR="00236954" w:rsidRDefault="00236954" w:rsidP="00236954">
            <w:pPr>
              <w:pStyle w:val="CM4"/>
              <w:spacing w:before="60" w:after="60"/>
              <w:jc w:val="both"/>
              <w:rPr>
                <w:bCs/>
                <w:i/>
                <w:iCs/>
                <w:sz w:val="18"/>
                <w:szCs w:val="18"/>
                <w:lang w:val="ro-MD"/>
              </w:rPr>
            </w:pPr>
          </w:p>
          <w:p w14:paraId="1E203B4A" w14:textId="77777777" w:rsidR="00236954" w:rsidRDefault="00236954" w:rsidP="00236954">
            <w:pPr>
              <w:rPr>
                <w:lang w:val="ro-MD" w:eastAsia="en-US"/>
              </w:rPr>
            </w:pPr>
          </w:p>
          <w:p w14:paraId="72283522" w14:textId="77777777" w:rsidR="00236954" w:rsidRDefault="00236954" w:rsidP="00236954">
            <w:pPr>
              <w:rPr>
                <w:lang w:val="ro-MD" w:eastAsia="en-US"/>
              </w:rPr>
            </w:pPr>
          </w:p>
          <w:p w14:paraId="7CFD02A3" w14:textId="77777777" w:rsidR="00236954" w:rsidRDefault="00236954" w:rsidP="00236954">
            <w:pPr>
              <w:rPr>
                <w:lang w:val="ro-MD" w:eastAsia="en-US"/>
              </w:rPr>
            </w:pPr>
          </w:p>
          <w:p w14:paraId="6E9441C1" w14:textId="77777777" w:rsidR="00236954" w:rsidRDefault="00236954" w:rsidP="00236954">
            <w:pPr>
              <w:rPr>
                <w:lang w:val="ro-MD" w:eastAsia="en-US"/>
              </w:rPr>
            </w:pPr>
          </w:p>
          <w:p w14:paraId="75CE709E" w14:textId="77777777" w:rsidR="00236954" w:rsidRDefault="00236954" w:rsidP="00236954">
            <w:pPr>
              <w:rPr>
                <w:lang w:val="ro-MD" w:eastAsia="en-US"/>
              </w:rPr>
            </w:pPr>
          </w:p>
          <w:p w14:paraId="75FC2324" w14:textId="0BC35B22" w:rsidR="00236954" w:rsidRPr="006F1DA2" w:rsidRDefault="00236954" w:rsidP="00236954">
            <w:pPr>
              <w:rPr>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64DD1EFA" w14:textId="4AAC6856" w:rsidR="00236954" w:rsidRPr="00A96E09" w:rsidRDefault="00236954" w:rsidP="00236954">
            <w:pPr>
              <w:jc w:val="both"/>
              <w:rPr>
                <w:sz w:val="18"/>
                <w:szCs w:val="18"/>
                <w:lang w:val="ro-MD"/>
              </w:rPr>
            </w:pPr>
            <w:r w:rsidRPr="00A96E09">
              <w:rPr>
                <w:sz w:val="18"/>
                <w:szCs w:val="18"/>
                <w:lang w:val="ro-MD"/>
              </w:rPr>
              <w:lastRenderedPageBreak/>
              <w:t>Parțial compatibil</w:t>
            </w:r>
          </w:p>
        </w:tc>
        <w:tc>
          <w:tcPr>
            <w:tcW w:w="4683" w:type="dxa"/>
            <w:tcBorders>
              <w:top w:val="single" w:sz="4" w:space="0" w:color="auto"/>
              <w:bottom w:val="single" w:sz="4" w:space="0" w:color="auto"/>
            </w:tcBorders>
          </w:tcPr>
          <w:p w14:paraId="499D020C" w14:textId="77777777" w:rsidR="00236954" w:rsidRPr="00A96E09" w:rsidRDefault="00236954" w:rsidP="00236954">
            <w:pPr>
              <w:jc w:val="both"/>
              <w:rPr>
                <w:bCs/>
                <w:sz w:val="18"/>
                <w:szCs w:val="18"/>
                <w:lang w:val="en-US"/>
              </w:rPr>
            </w:pPr>
            <w:r w:rsidRPr="00A96E09">
              <w:rPr>
                <w:bCs/>
                <w:sz w:val="18"/>
                <w:szCs w:val="18"/>
                <w:lang w:val="en-US"/>
              </w:rPr>
              <w:t>Coeficientul 12,5, specificat în CRR, cu care se multiplică cerințele de fonduri proprii reprezintă proporția inversă de la cerința de 8%, stabilită în același document. Având în vedere faptul că în Regulamentul nr.109/2018 cu privire la fondurile proprii ale băncilor și cerințele de capital, cerințele față de fondurile proprii au fost stabilite în mărime de 10 % se impune necesitatea ajustării și a coeficientului menționat din 12,5 în 10,0.</w:t>
            </w:r>
          </w:p>
          <w:p w14:paraId="48F2AD57" w14:textId="6D395BBE" w:rsidR="00236954" w:rsidRPr="00A96E09" w:rsidRDefault="00236954" w:rsidP="00236954">
            <w:pPr>
              <w:jc w:val="both"/>
              <w:rPr>
                <w:sz w:val="18"/>
                <w:szCs w:val="18"/>
                <w:lang w:val="ro-MD"/>
              </w:rPr>
            </w:pPr>
          </w:p>
        </w:tc>
      </w:tr>
      <w:tr w:rsidR="00236954" w:rsidRPr="00EB7E01" w14:paraId="078FCE32" w14:textId="77777777" w:rsidTr="00C14AF6">
        <w:trPr>
          <w:trHeight w:val="918"/>
        </w:trPr>
        <w:tc>
          <w:tcPr>
            <w:tcW w:w="3866" w:type="dxa"/>
          </w:tcPr>
          <w:p w14:paraId="1F0284EC" w14:textId="14589A68"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t xml:space="preserve">Articolul 309 </w:t>
            </w:r>
            <w:r w:rsidRPr="00A96E09">
              <w:rPr>
                <w:rFonts w:eastAsiaTheme="minorHAnsi"/>
                <w:b/>
                <w:bCs/>
                <w:color w:val="000000"/>
                <w:sz w:val="18"/>
                <w:szCs w:val="18"/>
                <w:lang w:val="ro-MD" w:eastAsia="en-US"/>
              </w:rPr>
              <w:t xml:space="preserve">Cerinţele de fonduri proprii pentru contribuţiile prefinanţate la fondul de garantare al unei CPC necalificate și pentru contribuţiile nefinanţate la fondul de garantare al unei CPC necalificate </w:t>
            </w:r>
          </w:p>
          <w:p w14:paraId="3EB22235"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lastRenderedPageBreak/>
              <w:t xml:space="preserve">(1) O instituţie aplică următoarea formulă pentru a calcula cerinţa de fonduri proprii pentru expunerile rezultate din contribuţiile sale prefinanţate la fondul de garantare al unei CPC necalificate și din contribuţiile nefinanţate la respectiva CPC: </w:t>
            </w:r>
          </w:p>
          <w:p w14:paraId="52D7283D" w14:textId="77777777" w:rsidR="00236954" w:rsidRPr="00A96E09" w:rsidRDefault="00236954" w:rsidP="00236954">
            <w:pPr>
              <w:autoSpaceDE w:val="0"/>
              <w:autoSpaceDN w:val="0"/>
              <w:adjustRightInd w:val="0"/>
              <w:spacing w:before="60" w:after="60"/>
              <w:jc w:val="center"/>
              <w:rPr>
                <w:rFonts w:eastAsiaTheme="minorHAnsi"/>
                <w:color w:val="000000"/>
                <w:sz w:val="18"/>
                <w:szCs w:val="18"/>
                <w:lang w:val="ro-MD" w:eastAsia="en-US"/>
              </w:rPr>
            </w:pPr>
            <w:r w:rsidRPr="00A96E09">
              <w:rPr>
                <w:rFonts w:eastAsiaTheme="minorHAnsi"/>
                <w:color w:val="000000"/>
                <w:sz w:val="18"/>
                <w:szCs w:val="18"/>
                <w:lang w:val="ro-MD" w:eastAsia="en-US"/>
              </w:rPr>
              <w:t>K = DF + UC</w:t>
            </w:r>
          </w:p>
          <w:p w14:paraId="232F95F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unde: </w:t>
            </w:r>
          </w:p>
          <w:p w14:paraId="7398C41F"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K = cerinţa de fonduri proprii; </w:t>
            </w:r>
          </w:p>
          <w:p w14:paraId="46A8DD96"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DF = contribuţiile prefinanţate la fondul de garantare al unei CPC necalificate; și </w:t>
            </w:r>
          </w:p>
          <w:p w14:paraId="574994F0"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UC = contribuţiile nefinanţate la fondul de garantare al unei CPC necalificate. </w:t>
            </w:r>
          </w:p>
          <w:p w14:paraId="6610E3C0" w14:textId="3CE3A609" w:rsidR="00236954" w:rsidRPr="00A96E09" w:rsidRDefault="00236954" w:rsidP="00236954">
            <w:pPr>
              <w:autoSpaceDE w:val="0"/>
              <w:autoSpaceDN w:val="0"/>
              <w:adjustRightInd w:val="0"/>
              <w:spacing w:before="60" w:after="60"/>
              <w:rPr>
                <w:rFonts w:eastAsiaTheme="minorHAnsi"/>
                <w:i/>
                <w:iCs/>
                <w:color w:val="000000"/>
                <w:sz w:val="18"/>
                <w:szCs w:val="18"/>
                <w:lang w:val="en-US" w:eastAsia="en-US"/>
              </w:rPr>
            </w:pPr>
            <w:r w:rsidRPr="00A96E09">
              <w:rPr>
                <w:rFonts w:eastAsiaTheme="minorHAnsi"/>
                <w:color w:val="000000"/>
                <w:sz w:val="18"/>
                <w:szCs w:val="18"/>
                <w:lang w:val="ro-MD"/>
              </w:rPr>
              <w:t>(2) O instituţie calculează valorile ponderate la risc ale expunerilor pentru expunerile rezultate din contribuţia instituţiei respective la fondul de garantare al unei CPC necalificate în sensul articolului 92 alineatul (3) prin înmulţirea cu 12,5 a cerinţei de fonduri proprii calculate în conformitate cu alineatul (1) de la prezentul articol.</w:t>
            </w:r>
          </w:p>
        </w:tc>
        <w:tc>
          <w:tcPr>
            <w:tcW w:w="4356" w:type="dxa"/>
          </w:tcPr>
          <w:p w14:paraId="046581DD" w14:textId="0D942B9D" w:rsidR="00236954" w:rsidRPr="00A96E09" w:rsidRDefault="00236954" w:rsidP="00236954">
            <w:pPr>
              <w:ind w:firstLine="567"/>
              <w:jc w:val="center"/>
              <w:rPr>
                <w:bCs/>
                <w:i/>
                <w:iCs/>
                <w:sz w:val="18"/>
                <w:szCs w:val="18"/>
                <w:lang w:val="ro-MD" w:eastAsia="en-US"/>
              </w:rPr>
            </w:pPr>
            <w:r w:rsidRPr="00A96E09">
              <w:rPr>
                <w:bCs/>
                <w:i/>
                <w:iCs/>
                <w:sz w:val="18"/>
                <w:szCs w:val="18"/>
                <w:lang w:val="ro-MD" w:eastAsia="en-US"/>
              </w:rPr>
              <w:lastRenderedPageBreak/>
              <w:t>Secţiunea a 8-a</w:t>
            </w:r>
          </w:p>
          <w:p w14:paraId="45339F8D" w14:textId="053997E6" w:rsidR="00236954" w:rsidRPr="00A96E09" w:rsidRDefault="00236954" w:rsidP="00236954">
            <w:pPr>
              <w:ind w:firstLine="567"/>
              <w:jc w:val="center"/>
              <w:rPr>
                <w:rFonts w:eastAsiaTheme="minorHAnsi"/>
                <w:b/>
                <w:bCs/>
                <w:color w:val="000000"/>
                <w:sz w:val="18"/>
                <w:szCs w:val="18"/>
                <w:lang w:val="en-US" w:eastAsia="en-US"/>
              </w:rPr>
            </w:pPr>
            <w:r w:rsidRPr="00A96E09">
              <w:rPr>
                <w:rFonts w:eastAsiaTheme="minorHAnsi"/>
                <w:b/>
                <w:bCs/>
                <w:color w:val="000000"/>
                <w:sz w:val="18"/>
                <w:szCs w:val="18"/>
                <w:lang w:val="en-US" w:eastAsia="en-US"/>
              </w:rPr>
              <w:t>Cerinţele de fonduri proprii pentru contribuţiile prefinanţate la fondul de garantare al unei CPC necalificate și pentru contribuţiile nefinanţate la fondul de garantare al unei CPC necalificate</w:t>
            </w:r>
            <w:r w:rsidRPr="00A96E09">
              <w:rPr>
                <w:sz w:val="18"/>
                <w:szCs w:val="18"/>
                <w:lang w:val="en-US"/>
              </w:rPr>
              <w:t xml:space="preserve"> </w:t>
            </w:r>
            <w:r w:rsidRPr="00A96E09">
              <w:rPr>
                <w:rFonts w:eastAsiaTheme="minorHAnsi"/>
                <w:b/>
                <w:bCs/>
                <w:color w:val="000000"/>
                <w:sz w:val="18"/>
                <w:szCs w:val="18"/>
                <w:lang w:val="en-US" w:eastAsia="en-US"/>
              </w:rPr>
              <w:t xml:space="preserve">și cerinţele de fonduri proprii pentru </w:t>
            </w:r>
            <w:r w:rsidRPr="00A96E09">
              <w:rPr>
                <w:rFonts w:eastAsiaTheme="minorHAnsi"/>
                <w:b/>
                <w:bCs/>
                <w:color w:val="000000"/>
                <w:sz w:val="18"/>
                <w:szCs w:val="18"/>
                <w:lang w:val="en-US" w:eastAsia="en-US"/>
              </w:rPr>
              <w:lastRenderedPageBreak/>
              <w:t>contribuţiile nefinanţate la fondul de garantare al unei CPCC</w:t>
            </w:r>
          </w:p>
          <w:p w14:paraId="687CBAC3" w14:textId="10A8DF2E" w:rsidR="00236954" w:rsidRPr="00A96E09" w:rsidRDefault="00236954" w:rsidP="00236954">
            <w:pPr>
              <w:autoSpaceDE w:val="0"/>
              <w:autoSpaceDN w:val="0"/>
              <w:adjustRightInd w:val="0"/>
              <w:spacing w:before="200" w:after="200"/>
              <w:ind w:hanging="5"/>
              <w:jc w:val="both"/>
              <w:rPr>
                <w:rFonts w:eastAsiaTheme="minorHAnsi"/>
                <w:color w:val="000000"/>
                <w:sz w:val="18"/>
                <w:szCs w:val="18"/>
                <w:lang w:val="en-US" w:eastAsia="en-US"/>
              </w:rPr>
            </w:pPr>
            <w:r w:rsidRPr="00A96E09">
              <w:rPr>
                <w:rFonts w:eastAsiaTheme="minorHAnsi"/>
                <w:b/>
                <w:bCs/>
                <w:color w:val="000000"/>
                <w:sz w:val="18"/>
                <w:szCs w:val="18"/>
                <w:lang w:val="en-US" w:eastAsia="en-US"/>
              </w:rPr>
              <w:t>153.</w:t>
            </w:r>
            <w:r w:rsidRPr="00A96E09">
              <w:rPr>
                <w:rFonts w:eastAsiaTheme="minorHAnsi"/>
                <w:color w:val="000000"/>
                <w:sz w:val="18"/>
                <w:szCs w:val="18"/>
                <w:lang w:val="en-US" w:eastAsia="en-US"/>
              </w:rPr>
              <w:t xml:space="preserve"> Banca aplică următoarea formulă pentru a calcula cerința de fonduri proprii pentru expunerile rezultate din contribuțiile sale prefinanțate la fondul de garantare al unei CPC necalificate și din contribuțiile nefinanțate la respectiva CPC:</w:t>
            </w:r>
          </w:p>
          <w:p w14:paraId="1415C32D" w14:textId="77777777" w:rsidR="00236954" w:rsidRPr="00A96E09" w:rsidRDefault="00236954" w:rsidP="00236954">
            <w:pPr>
              <w:autoSpaceDE w:val="0"/>
              <w:autoSpaceDN w:val="0"/>
              <w:adjustRightInd w:val="0"/>
              <w:spacing w:before="200" w:after="200"/>
              <w:ind w:hanging="5"/>
              <w:jc w:val="center"/>
              <w:rPr>
                <w:rFonts w:eastAsiaTheme="minorHAnsi"/>
                <w:color w:val="000000"/>
                <w:sz w:val="18"/>
                <w:szCs w:val="18"/>
                <w:lang w:val="en-US" w:eastAsia="en-US"/>
              </w:rPr>
            </w:pPr>
            <w:r w:rsidRPr="00A96E09">
              <w:rPr>
                <w:rFonts w:eastAsiaTheme="minorHAnsi"/>
                <w:color w:val="000000"/>
                <w:sz w:val="18"/>
                <w:szCs w:val="18"/>
                <w:lang w:val="en-US" w:eastAsia="en-US"/>
              </w:rPr>
              <w:t>K = DF + UC</w:t>
            </w:r>
          </w:p>
          <w:p w14:paraId="21ED6440" w14:textId="77777777" w:rsidR="00236954" w:rsidRPr="00A96E09" w:rsidRDefault="00236954" w:rsidP="00236954">
            <w:pPr>
              <w:autoSpaceDE w:val="0"/>
              <w:autoSpaceDN w:val="0"/>
              <w:adjustRightInd w:val="0"/>
              <w:spacing w:before="200" w:after="200"/>
              <w:ind w:hanging="5"/>
              <w:jc w:val="both"/>
              <w:rPr>
                <w:rFonts w:eastAsiaTheme="minorHAnsi"/>
                <w:color w:val="000000"/>
                <w:sz w:val="18"/>
                <w:szCs w:val="18"/>
                <w:lang w:val="en-US" w:eastAsia="en-US"/>
              </w:rPr>
            </w:pPr>
            <w:r w:rsidRPr="00A96E09">
              <w:rPr>
                <w:rFonts w:eastAsiaTheme="minorHAnsi"/>
                <w:color w:val="000000"/>
                <w:sz w:val="18"/>
                <w:szCs w:val="18"/>
                <w:lang w:val="en-US" w:eastAsia="en-US"/>
              </w:rPr>
              <w:t>unde:</w:t>
            </w:r>
          </w:p>
          <w:p w14:paraId="2B2BA8FE" w14:textId="77777777" w:rsidR="00236954" w:rsidRPr="00A96E09" w:rsidRDefault="00236954" w:rsidP="00236954">
            <w:pPr>
              <w:autoSpaceDE w:val="0"/>
              <w:autoSpaceDN w:val="0"/>
              <w:adjustRightInd w:val="0"/>
              <w:ind w:left="6" w:hanging="6"/>
              <w:jc w:val="both"/>
              <w:rPr>
                <w:rFonts w:eastAsiaTheme="minorHAnsi"/>
                <w:color w:val="000000"/>
                <w:sz w:val="18"/>
                <w:szCs w:val="18"/>
                <w:lang w:val="en-US" w:eastAsia="en-US"/>
              </w:rPr>
            </w:pPr>
            <w:r w:rsidRPr="00A96E09">
              <w:rPr>
                <w:rFonts w:eastAsiaTheme="minorHAnsi"/>
                <w:color w:val="000000"/>
                <w:sz w:val="18"/>
                <w:szCs w:val="18"/>
                <w:lang w:val="en-US" w:eastAsia="en-US"/>
              </w:rPr>
              <w:t xml:space="preserve">K = cerința de fonduri </w:t>
            </w:r>
            <w:proofErr w:type="gramStart"/>
            <w:r w:rsidRPr="00A96E09">
              <w:rPr>
                <w:rFonts w:eastAsiaTheme="minorHAnsi"/>
                <w:color w:val="000000"/>
                <w:sz w:val="18"/>
                <w:szCs w:val="18"/>
                <w:lang w:val="en-US" w:eastAsia="en-US"/>
              </w:rPr>
              <w:t>proprii;</w:t>
            </w:r>
            <w:proofErr w:type="gramEnd"/>
          </w:p>
          <w:p w14:paraId="44FEE586" w14:textId="77777777" w:rsidR="00236954" w:rsidRPr="00A96E09" w:rsidRDefault="00236954" w:rsidP="00236954">
            <w:pPr>
              <w:autoSpaceDE w:val="0"/>
              <w:autoSpaceDN w:val="0"/>
              <w:adjustRightInd w:val="0"/>
              <w:ind w:left="6" w:hanging="6"/>
              <w:jc w:val="both"/>
              <w:rPr>
                <w:rFonts w:eastAsiaTheme="minorHAnsi"/>
                <w:color w:val="000000"/>
                <w:sz w:val="18"/>
                <w:szCs w:val="18"/>
                <w:lang w:val="en-US" w:eastAsia="en-US"/>
              </w:rPr>
            </w:pPr>
            <w:r w:rsidRPr="00A96E09">
              <w:rPr>
                <w:rFonts w:eastAsiaTheme="minorHAnsi"/>
                <w:color w:val="000000"/>
                <w:sz w:val="18"/>
                <w:szCs w:val="18"/>
                <w:lang w:val="en-US" w:eastAsia="en-US"/>
              </w:rPr>
              <w:t>DF = contribuțiile prefinanțate la fondul de garantare al unei CPC necalificate; și</w:t>
            </w:r>
          </w:p>
          <w:p w14:paraId="01B829F0" w14:textId="77777777" w:rsidR="00236954" w:rsidRPr="00A96E09" w:rsidRDefault="00236954" w:rsidP="00236954">
            <w:pPr>
              <w:autoSpaceDE w:val="0"/>
              <w:autoSpaceDN w:val="0"/>
              <w:adjustRightInd w:val="0"/>
              <w:ind w:left="6" w:hanging="6"/>
              <w:jc w:val="both"/>
              <w:rPr>
                <w:rFonts w:eastAsiaTheme="minorHAnsi"/>
                <w:color w:val="000000"/>
                <w:sz w:val="18"/>
                <w:szCs w:val="18"/>
                <w:lang w:val="en-US" w:eastAsia="en-US"/>
              </w:rPr>
            </w:pPr>
            <w:r w:rsidRPr="00A96E09">
              <w:rPr>
                <w:rFonts w:eastAsiaTheme="minorHAnsi"/>
                <w:color w:val="000000"/>
                <w:sz w:val="18"/>
                <w:szCs w:val="18"/>
                <w:lang w:val="en-US" w:eastAsia="en-US"/>
              </w:rPr>
              <w:t>UC = contribuțiile nefinanțate la fondul de garantare al unei CPC necalificate.</w:t>
            </w:r>
          </w:p>
          <w:p w14:paraId="76C629A0" w14:textId="5FEFAC9B" w:rsidR="00236954" w:rsidRPr="00A96E09" w:rsidRDefault="00236954" w:rsidP="00236954">
            <w:pPr>
              <w:tabs>
                <w:tab w:val="left" w:pos="993"/>
              </w:tabs>
              <w:jc w:val="both"/>
              <w:rPr>
                <w:bCs/>
                <w:sz w:val="18"/>
                <w:szCs w:val="18"/>
                <w:lang w:val="ro-MD"/>
              </w:rPr>
            </w:pPr>
            <w:r w:rsidRPr="00A96E09">
              <w:rPr>
                <w:b/>
                <w:sz w:val="18"/>
                <w:szCs w:val="18"/>
                <w:lang w:val="en-US"/>
              </w:rPr>
              <w:t>154.</w:t>
            </w:r>
            <w:r w:rsidRPr="00A96E09">
              <w:rPr>
                <w:bCs/>
                <w:sz w:val="18"/>
                <w:szCs w:val="18"/>
                <w:lang w:val="en-US"/>
              </w:rPr>
              <w:t xml:space="preserve"> Banca calculează valorile ponderate la risc ale expunerilor rezultate din contribuţia băncii respective la fondul de garantare al unei CPC necalificate conform prevederilor Regulamentului nr.109/2018 prin înmulţirea cu 10 a cerinţei de fonduri proprii calculate în conformitate cu punctul 153.</w:t>
            </w:r>
          </w:p>
          <w:p w14:paraId="6F2BD623" w14:textId="77777777" w:rsidR="00236954" w:rsidRDefault="00236954" w:rsidP="00236954">
            <w:pPr>
              <w:rPr>
                <w:bCs/>
                <w:i/>
                <w:iCs/>
                <w:sz w:val="18"/>
                <w:szCs w:val="18"/>
                <w:lang w:val="ro-MD"/>
              </w:rPr>
            </w:pPr>
          </w:p>
          <w:p w14:paraId="30FE1D7C" w14:textId="7FC2DCB2" w:rsidR="00236954" w:rsidRPr="00A96E09" w:rsidRDefault="00236954" w:rsidP="00236954">
            <w:pPr>
              <w:rPr>
                <w:bCs/>
                <w:i/>
                <w:iCs/>
                <w:sz w:val="18"/>
                <w:szCs w:val="18"/>
                <w:lang w:val="ro-MD"/>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1FBDE4A2" w14:textId="097A3F2C" w:rsidR="00236954" w:rsidRPr="00A96E09" w:rsidRDefault="00236954" w:rsidP="00236954">
            <w:pPr>
              <w:jc w:val="both"/>
              <w:rPr>
                <w:sz w:val="18"/>
                <w:szCs w:val="18"/>
                <w:lang w:val="ro-MD"/>
              </w:rPr>
            </w:pPr>
            <w:r w:rsidRPr="00A96E09">
              <w:rPr>
                <w:sz w:val="18"/>
                <w:szCs w:val="18"/>
                <w:lang w:val="ro-MD"/>
              </w:rPr>
              <w:lastRenderedPageBreak/>
              <w:t>Parțial compatibil.</w:t>
            </w:r>
          </w:p>
        </w:tc>
        <w:tc>
          <w:tcPr>
            <w:tcW w:w="4683" w:type="dxa"/>
            <w:tcBorders>
              <w:top w:val="single" w:sz="4" w:space="0" w:color="auto"/>
              <w:bottom w:val="single" w:sz="4" w:space="0" w:color="auto"/>
            </w:tcBorders>
          </w:tcPr>
          <w:p w14:paraId="69470C2C" w14:textId="77777777" w:rsidR="00236954" w:rsidRPr="00A96E09" w:rsidRDefault="00236954" w:rsidP="00236954">
            <w:pPr>
              <w:jc w:val="both"/>
              <w:rPr>
                <w:bCs/>
                <w:sz w:val="18"/>
                <w:szCs w:val="18"/>
                <w:lang w:val="en-US"/>
              </w:rPr>
            </w:pPr>
            <w:r w:rsidRPr="00A96E09">
              <w:rPr>
                <w:bCs/>
                <w:sz w:val="18"/>
                <w:szCs w:val="18"/>
                <w:lang w:val="en-US"/>
              </w:rPr>
              <w:t xml:space="preserve">Coeficientul 12,5, specificat în CRR, cu care se multiplică cerințele de fonduri proprii reprezintă proporția inversă de la cerința de 8%, stabilită în același document. Având în vedere faptul că în Regulamentul nr.109/2018 cu privire la fondurile proprii ale băncilor și cerințele de capital, cerințele față de fondurile proprii au fost stabilite în mărime de 10 % se impune </w:t>
            </w:r>
            <w:r w:rsidRPr="00A96E09">
              <w:rPr>
                <w:bCs/>
                <w:sz w:val="18"/>
                <w:szCs w:val="18"/>
                <w:lang w:val="en-US"/>
              </w:rPr>
              <w:lastRenderedPageBreak/>
              <w:t>necesitatea ajustării și a coeficientului menționat din 12,5 în 10,0.</w:t>
            </w:r>
          </w:p>
          <w:p w14:paraId="2EAB7735" w14:textId="3CDB8499" w:rsidR="00236954" w:rsidRPr="00A96E09" w:rsidRDefault="00236954" w:rsidP="00236954">
            <w:pPr>
              <w:jc w:val="both"/>
              <w:rPr>
                <w:sz w:val="18"/>
                <w:szCs w:val="18"/>
                <w:lang w:val="en-US"/>
              </w:rPr>
            </w:pPr>
          </w:p>
        </w:tc>
      </w:tr>
      <w:tr w:rsidR="00236954" w:rsidRPr="00A96E09" w14:paraId="3D24D771" w14:textId="77777777" w:rsidTr="00C14AF6">
        <w:trPr>
          <w:trHeight w:val="918"/>
        </w:trPr>
        <w:tc>
          <w:tcPr>
            <w:tcW w:w="3866" w:type="dxa"/>
          </w:tcPr>
          <w:p w14:paraId="5563AB07" w14:textId="43EBCDA4"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lastRenderedPageBreak/>
              <w:t xml:space="preserve">Articolul 310 </w:t>
            </w:r>
            <w:r w:rsidRPr="00A96E09">
              <w:rPr>
                <w:rFonts w:eastAsiaTheme="minorHAnsi"/>
                <w:b/>
                <w:bCs/>
                <w:color w:val="000000"/>
                <w:sz w:val="18"/>
                <w:szCs w:val="18"/>
                <w:lang w:val="ro-MD" w:eastAsia="en-US"/>
              </w:rPr>
              <w:t xml:space="preserve">Cerinţele de fonduri proprii pentru contribuţiile nefinanţate la fondul de garantare al unei CPCC </w:t>
            </w:r>
          </w:p>
          <w:p w14:paraId="7AC1B11D" w14:textId="6BA5042E"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r w:rsidRPr="00A96E09">
              <w:rPr>
                <w:rFonts w:eastAsiaTheme="minorHAnsi"/>
                <w:color w:val="000000"/>
                <w:sz w:val="18"/>
                <w:szCs w:val="18"/>
                <w:lang w:val="ro-MD"/>
              </w:rPr>
              <w:t>O instituţie aplică o pondere de risc de 0 % contribuţiilor sale nefinanţate la fondul de garantare al unei CPCC.</w:t>
            </w:r>
          </w:p>
        </w:tc>
        <w:tc>
          <w:tcPr>
            <w:tcW w:w="4356" w:type="dxa"/>
          </w:tcPr>
          <w:p w14:paraId="2FA1A303" w14:textId="18F75B6D" w:rsidR="00236954" w:rsidRPr="00A96E09" w:rsidRDefault="00236954" w:rsidP="00236954">
            <w:pPr>
              <w:jc w:val="both"/>
              <w:rPr>
                <w:bCs/>
                <w:sz w:val="18"/>
                <w:szCs w:val="18"/>
                <w:lang w:val="ro-MD" w:eastAsia="en-US"/>
              </w:rPr>
            </w:pPr>
            <w:r w:rsidRPr="00A96E09">
              <w:rPr>
                <w:b/>
                <w:sz w:val="18"/>
                <w:szCs w:val="18"/>
                <w:lang w:val="ro-MD" w:eastAsia="en-US"/>
              </w:rPr>
              <w:t xml:space="preserve">155. </w:t>
            </w:r>
            <w:r w:rsidRPr="00A96E09">
              <w:rPr>
                <w:bCs/>
                <w:sz w:val="18"/>
                <w:szCs w:val="18"/>
                <w:lang w:val="ro-MD" w:eastAsia="en-US"/>
              </w:rPr>
              <w:t>Bancă aplică o pondere de risc de 0 % contribuţiilor sale nefinanţate la fondul de garantare al unei CPCC.</w:t>
            </w:r>
          </w:p>
          <w:p w14:paraId="2AB8A359" w14:textId="77777777" w:rsidR="00236954" w:rsidRDefault="00236954" w:rsidP="00236954">
            <w:pPr>
              <w:ind w:firstLine="567"/>
              <w:jc w:val="center"/>
              <w:rPr>
                <w:bCs/>
                <w:i/>
                <w:iCs/>
                <w:sz w:val="18"/>
                <w:szCs w:val="18"/>
                <w:lang w:val="ro-MD" w:eastAsia="en-US"/>
              </w:rPr>
            </w:pPr>
          </w:p>
          <w:p w14:paraId="4C9330D9" w14:textId="77777777" w:rsidR="00236954" w:rsidRDefault="00236954" w:rsidP="00236954">
            <w:pPr>
              <w:ind w:firstLine="567"/>
              <w:jc w:val="center"/>
              <w:rPr>
                <w:bCs/>
                <w:i/>
                <w:iCs/>
                <w:sz w:val="18"/>
                <w:szCs w:val="18"/>
                <w:lang w:val="ro-MD" w:eastAsia="en-US"/>
              </w:rPr>
            </w:pPr>
          </w:p>
          <w:p w14:paraId="52EC5341" w14:textId="77777777" w:rsidR="00236954" w:rsidRDefault="00236954" w:rsidP="00236954">
            <w:pPr>
              <w:ind w:firstLine="567"/>
              <w:jc w:val="center"/>
              <w:rPr>
                <w:bCs/>
                <w:i/>
                <w:iCs/>
                <w:sz w:val="18"/>
                <w:szCs w:val="18"/>
                <w:lang w:val="ro-MD" w:eastAsia="en-US"/>
              </w:rPr>
            </w:pPr>
          </w:p>
          <w:p w14:paraId="73B49001" w14:textId="4F42D72E" w:rsidR="00236954" w:rsidRPr="00A96E09" w:rsidRDefault="00236954" w:rsidP="00236954">
            <w:pPr>
              <w:rPr>
                <w:bCs/>
                <w:i/>
                <w:i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71057AE9" w14:textId="72EE8832" w:rsidR="00236954" w:rsidRPr="00A96E09" w:rsidRDefault="00236954" w:rsidP="00236954">
            <w:pPr>
              <w:jc w:val="both"/>
              <w:rPr>
                <w:sz w:val="18"/>
                <w:szCs w:val="18"/>
                <w:lang w:val="ro-MD"/>
              </w:rPr>
            </w:pPr>
            <w:r w:rsidRPr="00A96E09">
              <w:rPr>
                <w:sz w:val="18"/>
                <w:szCs w:val="18"/>
                <w:lang w:val="ro-MD"/>
              </w:rPr>
              <w:t>Compatibil</w:t>
            </w:r>
          </w:p>
        </w:tc>
        <w:tc>
          <w:tcPr>
            <w:tcW w:w="4683" w:type="dxa"/>
            <w:tcBorders>
              <w:top w:val="single" w:sz="4" w:space="0" w:color="auto"/>
              <w:bottom w:val="single" w:sz="4" w:space="0" w:color="auto"/>
            </w:tcBorders>
          </w:tcPr>
          <w:p w14:paraId="62CD8F53" w14:textId="77777777" w:rsidR="00236954" w:rsidRPr="00A96E09" w:rsidRDefault="00236954" w:rsidP="00236954">
            <w:pPr>
              <w:jc w:val="both"/>
              <w:rPr>
                <w:sz w:val="18"/>
                <w:szCs w:val="18"/>
                <w:lang w:val="ro-MD"/>
              </w:rPr>
            </w:pPr>
          </w:p>
        </w:tc>
      </w:tr>
      <w:tr w:rsidR="00236954" w:rsidRPr="00A96E09" w14:paraId="5A9A0897" w14:textId="77777777" w:rsidTr="00C14AF6">
        <w:trPr>
          <w:trHeight w:val="918"/>
        </w:trPr>
        <w:tc>
          <w:tcPr>
            <w:tcW w:w="3866" w:type="dxa"/>
          </w:tcPr>
          <w:p w14:paraId="3E1B6EDF" w14:textId="483CE093"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i/>
                <w:iCs/>
                <w:color w:val="000000"/>
                <w:sz w:val="18"/>
                <w:szCs w:val="18"/>
                <w:lang w:val="ro-MD" w:eastAsia="en-US"/>
              </w:rPr>
              <w:t xml:space="preserve">Articolul 311 </w:t>
            </w:r>
            <w:r w:rsidRPr="00A96E09">
              <w:rPr>
                <w:rFonts w:eastAsiaTheme="minorHAnsi"/>
                <w:b/>
                <w:bCs/>
                <w:color w:val="000000"/>
                <w:sz w:val="18"/>
                <w:szCs w:val="18"/>
                <w:lang w:val="ro-MD" w:eastAsia="en-US"/>
              </w:rPr>
              <w:t xml:space="preserve">Cerinţele de fonduri proprii pentru expunerile faţă de CPC-urile care încetează să îndeplinească anumite condiţii </w:t>
            </w:r>
          </w:p>
          <w:p w14:paraId="3D7944E4"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(1) Instituţiile aplică tratamentul prevăzut la prezentul articol în cazul în care au luat cunoștinţă, în urma unui anunţ public sau a unei </w:t>
            </w:r>
            <w:r w:rsidRPr="00A96E09">
              <w:rPr>
                <w:rFonts w:eastAsiaTheme="minorHAnsi"/>
                <w:color w:val="000000"/>
                <w:sz w:val="18"/>
                <w:szCs w:val="18"/>
                <w:lang w:val="ro-MD" w:eastAsia="en-US"/>
              </w:rPr>
              <w:lastRenderedPageBreak/>
              <w:t xml:space="preserve">notificări din partea autorităţii competente a unei CPC utilizate de instituţiile respective sau din partea respectivei CPC, de faptul că respectiva CPC nu va mai îndeplini condiţiile privind autorizarea sau recunoașterea, după caz. </w:t>
            </w:r>
          </w:p>
          <w:p w14:paraId="7054BD89"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(2) În cazul în care condiţia prevăzută la alineatul (1) este îndeplinită, instituţiile, în termen de trei luni din momentul în care iau cunoștinţă despre situaţia menţionată la alineatul respectiv, sau mai devreme dacă autorităţile competente ale instituţiilor respective impun acest lucru, procedează după cum urmează în ceea ce privește expunerile lor la respectiva CPC: </w:t>
            </w:r>
          </w:p>
          <w:p w14:paraId="7DF82162"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(a) aplică tratamentul prevăzut la articolul 306 alineatul (1) litera (b) expunerilor lor din tranzacţii la respectiva CPC; </w:t>
            </w:r>
          </w:p>
          <w:p w14:paraId="3325AD1B" w14:textId="77777777" w:rsidR="00236954" w:rsidRPr="00A96E09" w:rsidRDefault="00236954" w:rsidP="00236954">
            <w:pPr>
              <w:autoSpaceDE w:val="0"/>
              <w:autoSpaceDN w:val="0"/>
              <w:adjustRightInd w:val="0"/>
              <w:spacing w:before="60" w:after="60"/>
              <w:rPr>
                <w:rFonts w:eastAsiaTheme="minorHAnsi"/>
                <w:color w:val="000000"/>
                <w:sz w:val="18"/>
                <w:szCs w:val="18"/>
                <w:lang w:val="ro-MD" w:eastAsia="en-US"/>
              </w:rPr>
            </w:pPr>
            <w:r w:rsidRPr="00A96E09">
              <w:rPr>
                <w:rFonts w:eastAsiaTheme="minorHAnsi"/>
                <w:color w:val="000000"/>
                <w:sz w:val="18"/>
                <w:szCs w:val="18"/>
                <w:lang w:val="ro-MD" w:eastAsia="en-US"/>
              </w:rPr>
              <w:t xml:space="preserve">(b) aplică tratamentul prevăzut la articolul 309 contribuţiilor lor prefinanţate la fondul de garantare al respectivei CPC și contribuţiilor lor nefinanţate la respectiva CPC; </w:t>
            </w:r>
          </w:p>
          <w:p w14:paraId="289539D4" w14:textId="476EAC11"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r w:rsidRPr="00A96E09">
              <w:rPr>
                <w:rFonts w:eastAsiaTheme="minorHAnsi"/>
                <w:color w:val="000000"/>
                <w:sz w:val="18"/>
                <w:szCs w:val="18"/>
                <w:lang w:val="ro-MD"/>
              </w:rPr>
              <w:t>(c) tratează expunerile lor faţă de respectiva CPC, altele decât expunerile enumerate la literele (a) și (b) de la prezentul alineat, ca fiind expuneri la o societate, în conformitate cu abordarea standardizată pentru riscul de credit prevăzută în capitolul 2.</w:t>
            </w:r>
          </w:p>
        </w:tc>
        <w:tc>
          <w:tcPr>
            <w:tcW w:w="4356" w:type="dxa"/>
          </w:tcPr>
          <w:p w14:paraId="7BCBD80C" w14:textId="6025C18D" w:rsidR="00236954" w:rsidRPr="00A96E09" w:rsidRDefault="00236954" w:rsidP="00236954">
            <w:pPr>
              <w:ind w:firstLine="567"/>
              <w:jc w:val="center"/>
              <w:rPr>
                <w:bCs/>
                <w:i/>
                <w:iCs/>
                <w:sz w:val="18"/>
                <w:szCs w:val="18"/>
                <w:lang w:val="ro-MD"/>
              </w:rPr>
            </w:pPr>
            <w:r w:rsidRPr="00A96E09">
              <w:rPr>
                <w:bCs/>
                <w:i/>
                <w:iCs/>
                <w:sz w:val="18"/>
                <w:szCs w:val="18"/>
                <w:lang w:val="ro-MD"/>
              </w:rPr>
              <w:lastRenderedPageBreak/>
              <w:t>Secţiunea a 9-a</w:t>
            </w:r>
          </w:p>
          <w:p w14:paraId="562C3653" w14:textId="77777777" w:rsidR="00236954" w:rsidRPr="00A96E09" w:rsidRDefault="00236954" w:rsidP="00236954">
            <w:pPr>
              <w:ind w:firstLine="567"/>
              <w:jc w:val="center"/>
              <w:rPr>
                <w:b/>
                <w:sz w:val="18"/>
                <w:szCs w:val="18"/>
                <w:lang w:val="ro-MD"/>
              </w:rPr>
            </w:pPr>
            <w:r w:rsidRPr="00A96E09">
              <w:rPr>
                <w:b/>
                <w:sz w:val="18"/>
                <w:szCs w:val="18"/>
                <w:lang w:val="ro-MD"/>
              </w:rPr>
              <w:t>Cerinţele de fonduri proprii pentru expunerile faţă de CPC-urile care încetează să îndeplinească anumite condiţii</w:t>
            </w:r>
          </w:p>
          <w:p w14:paraId="21BDAD26" w14:textId="60F2C719" w:rsidR="00236954" w:rsidRPr="00A96E09" w:rsidRDefault="00236954" w:rsidP="00236954">
            <w:pPr>
              <w:tabs>
                <w:tab w:val="left" w:pos="428"/>
              </w:tabs>
              <w:jc w:val="both"/>
              <w:rPr>
                <w:bCs/>
                <w:sz w:val="18"/>
                <w:szCs w:val="18"/>
                <w:lang w:val="ro-MD" w:eastAsia="en-US"/>
              </w:rPr>
            </w:pPr>
            <w:r w:rsidRPr="00A96E09">
              <w:rPr>
                <w:b/>
                <w:sz w:val="18"/>
                <w:szCs w:val="18"/>
                <w:lang w:val="ro-MD" w:eastAsia="en-US"/>
              </w:rPr>
              <w:t>156.</w:t>
            </w:r>
            <w:r w:rsidRPr="00A96E09">
              <w:rPr>
                <w:bCs/>
                <w:sz w:val="18"/>
                <w:szCs w:val="18"/>
                <w:lang w:val="ro-MD" w:eastAsia="en-US"/>
              </w:rPr>
              <w:tab/>
              <w:t xml:space="preserve">Băncile aplică tratamentul prevăzut la prezenta secțiune în cazul în care au luat cunoștinţă, în urma unui anunţ public sau a unei informări din partea Băncii </w:t>
            </w:r>
            <w:r w:rsidRPr="00A96E09">
              <w:rPr>
                <w:bCs/>
                <w:sz w:val="18"/>
                <w:szCs w:val="18"/>
                <w:lang w:val="ro-MD" w:eastAsia="en-US"/>
              </w:rPr>
              <w:lastRenderedPageBreak/>
              <w:t>Naționale a Moldovei a unei CPC utilizate de băncile respective sau din partea respectivei CPC, de faptul că respectiva CPC nu va mai îndeplini condiţiile privind autorizarea sau recunoașterea, după caz.</w:t>
            </w:r>
          </w:p>
          <w:p w14:paraId="04A8452E" w14:textId="2B8419DE" w:rsidR="00236954" w:rsidRPr="00A96E09" w:rsidRDefault="00236954" w:rsidP="00236954">
            <w:pPr>
              <w:tabs>
                <w:tab w:val="left" w:pos="428"/>
              </w:tabs>
              <w:jc w:val="both"/>
              <w:rPr>
                <w:bCs/>
                <w:sz w:val="18"/>
                <w:szCs w:val="18"/>
                <w:lang w:val="ro-MD" w:eastAsia="en-US"/>
              </w:rPr>
            </w:pPr>
            <w:r w:rsidRPr="00A96E09">
              <w:rPr>
                <w:b/>
                <w:sz w:val="18"/>
                <w:szCs w:val="18"/>
                <w:lang w:val="ro-MD" w:eastAsia="en-US"/>
              </w:rPr>
              <w:t>157.</w:t>
            </w:r>
            <w:r w:rsidRPr="00A96E09">
              <w:rPr>
                <w:bCs/>
                <w:sz w:val="18"/>
                <w:szCs w:val="18"/>
                <w:lang w:val="ro-MD" w:eastAsia="en-US"/>
              </w:rPr>
              <w:tab/>
              <w:t xml:space="preserve">În cazul în care condiţia prevăzută la punctul 156 este îndeplinită, băncile, în termen de trei luni din momentul în care iau cunoștinţă despre această situaţie sau într-un termen mai restrâns comunicat de către Banca Națională a Moldovei, procedează după cum urmează: </w:t>
            </w:r>
          </w:p>
          <w:p w14:paraId="467295EE" w14:textId="1472C22A" w:rsidR="00236954" w:rsidRPr="00A96E09" w:rsidRDefault="00236954" w:rsidP="00236954">
            <w:pPr>
              <w:tabs>
                <w:tab w:val="left" w:pos="569"/>
              </w:tabs>
              <w:jc w:val="both"/>
              <w:rPr>
                <w:bCs/>
                <w:sz w:val="18"/>
                <w:szCs w:val="18"/>
                <w:lang w:val="ro-MD" w:eastAsia="en-US"/>
              </w:rPr>
            </w:pPr>
            <w:r w:rsidRPr="00A96E09">
              <w:rPr>
                <w:bCs/>
                <w:sz w:val="18"/>
                <w:szCs w:val="18"/>
                <w:lang w:val="ro-MD" w:eastAsia="en-US"/>
              </w:rPr>
              <w:t>157.1.</w:t>
            </w:r>
            <w:r w:rsidRPr="00A96E09">
              <w:rPr>
                <w:bCs/>
                <w:sz w:val="18"/>
                <w:szCs w:val="18"/>
                <w:lang w:val="ro-MD" w:eastAsia="en-US"/>
              </w:rPr>
              <w:tab/>
              <w:t>aplică tratamentul prevăzut la punctul 145, subpunctul 145.2. expunerilor lor din tranzacţii la respectiva CPC;</w:t>
            </w:r>
          </w:p>
          <w:p w14:paraId="34EEA959" w14:textId="6F5E9462" w:rsidR="00236954" w:rsidRPr="00A96E09" w:rsidRDefault="00236954" w:rsidP="00236954">
            <w:pPr>
              <w:tabs>
                <w:tab w:val="left" w:pos="569"/>
              </w:tabs>
              <w:jc w:val="both"/>
              <w:rPr>
                <w:bCs/>
                <w:sz w:val="18"/>
                <w:szCs w:val="18"/>
                <w:lang w:val="ro-MD" w:eastAsia="en-US"/>
              </w:rPr>
            </w:pPr>
            <w:r w:rsidRPr="00A96E09">
              <w:rPr>
                <w:bCs/>
                <w:sz w:val="18"/>
                <w:szCs w:val="18"/>
                <w:lang w:val="ro-MD" w:eastAsia="en-US"/>
              </w:rPr>
              <w:t>157.2.</w:t>
            </w:r>
            <w:r w:rsidRPr="00A96E09">
              <w:rPr>
                <w:bCs/>
                <w:sz w:val="18"/>
                <w:szCs w:val="18"/>
                <w:lang w:val="ro-MD" w:eastAsia="en-US"/>
              </w:rPr>
              <w:tab/>
              <w:t>aplică tratamentul prevăzut la punctele 153 și 154 contribuţiilor lor prefinanţate la fondul de garantare al respectivei CPC și contribuţiilor lor nefinanţate la respectiva CPC;</w:t>
            </w:r>
          </w:p>
          <w:p w14:paraId="5B2839DF" w14:textId="77777777" w:rsidR="00236954" w:rsidRDefault="00236954" w:rsidP="00236954">
            <w:pPr>
              <w:tabs>
                <w:tab w:val="left" w:pos="569"/>
              </w:tabs>
              <w:jc w:val="both"/>
              <w:rPr>
                <w:bCs/>
                <w:sz w:val="18"/>
                <w:szCs w:val="18"/>
                <w:lang w:val="ro-MD" w:eastAsia="en-US"/>
              </w:rPr>
            </w:pPr>
            <w:r w:rsidRPr="00A96E09">
              <w:rPr>
                <w:bCs/>
                <w:sz w:val="18"/>
                <w:szCs w:val="18"/>
                <w:lang w:val="ro-MD" w:eastAsia="en-US"/>
              </w:rPr>
              <w:t>157.3.</w:t>
            </w:r>
            <w:r w:rsidRPr="00A96E09">
              <w:rPr>
                <w:bCs/>
                <w:sz w:val="18"/>
                <w:szCs w:val="18"/>
                <w:lang w:val="ro-MD" w:eastAsia="en-US"/>
              </w:rPr>
              <w:tab/>
              <w:t>tratează expunerile lor faţă de respectiva CPC, altele decât expunerile enumerate la subpunctele 157.1. și 157.2., ca fiind expuneri la o societate, în conformitate cu abordarea standardizată pentru riscul de credit prevăzută în Regulamentul nr.111/2018.</w:t>
            </w:r>
          </w:p>
          <w:p w14:paraId="2448172C" w14:textId="77777777" w:rsidR="00236954" w:rsidRDefault="00236954" w:rsidP="00236954">
            <w:pPr>
              <w:tabs>
                <w:tab w:val="left" w:pos="569"/>
              </w:tabs>
              <w:jc w:val="both"/>
              <w:rPr>
                <w:bCs/>
                <w:sz w:val="18"/>
                <w:szCs w:val="18"/>
                <w:lang w:val="ro-MD" w:eastAsia="en-US"/>
              </w:rPr>
            </w:pPr>
          </w:p>
          <w:p w14:paraId="2F19948C" w14:textId="77777777" w:rsidR="00236954" w:rsidRDefault="00236954" w:rsidP="00236954">
            <w:pPr>
              <w:tabs>
                <w:tab w:val="left" w:pos="569"/>
              </w:tabs>
              <w:jc w:val="both"/>
              <w:rPr>
                <w:bCs/>
                <w:sz w:val="18"/>
                <w:szCs w:val="18"/>
                <w:lang w:val="ro-MD" w:eastAsia="en-US"/>
              </w:rPr>
            </w:pPr>
          </w:p>
          <w:p w14:paraId="41CD8488" w14:textId="77777777" w:rsidR="00236954" w:rsidRDefault="00236954" w:rsidP="00236954">
            <w:pPr>
              <w:tabs>
                <w:tab w:val="left" w:pos="569"/>
              </w:tabs>
              <w:jc w:val="both"/>
              <w:rPr>
                <w:bCs/>
                <w:sz w:val="18"/>
                <w:szCs w:val="18"/>
                <w:lang w:val="ro-MD" w:eastAsia="en-US"/>
              </w:rPr>
            </w:pPr>
          </w:p>
          <w:p w14:paraId="462890A5" w14:textId="77777777" w:rsidR="00236954" w:rsidRDefault="00236954" w:rsidP="00236954">
            <w:pPr>
              <w:tabs>
                <w:tab w:val="left" w:pos="569"/>
              </w:tabs>
              <w:jc w:val="both"/>
              <w:rPr>
                <w:bCs/>
                <w:sz w:val="18"/>
                <w:szCs w:val="18"/>
                <w:lang w:val="ro-MD" w:eastAsia="en-US"/>
              </w:rPr>
            </w:pPr>
          </w:p>
          <w:p w14:paraId="7FD840D2" w14:textId="1D41E030" w:rsidR="00236954" w:rsidRPr="00A96E09" w:rsidRDefault="00236954" w:rsidP="00236954">
            <w:pPr>
              <w:tabs>
                <w:tab w:val="left" w:pos="569"/>
              </w:tabs>
              <w:jc w:val="both"/>
              <w:rPr>
                <w:bCs/>
                <w:sz w:val="18"/>
                <w:szCs w:val="18"/>
                <w:lang w:val="ro-MD" w:eastAsia="en-US"/>
              </w:rPr>
            </w:pPr>
            <w:r w:rsidRPr="002305DE">
              <w:rPr>
                <w:rFonts w:eastAsiaTheme="minorHAnsi"/>
                <w:b/>
                <w:bCs/>
                <w:i/>
                <w:iCs/>
                <w:color w:val="000000"/>
                <w:sz w:val="18"/>
                <w:szCs w:val="18"/>
                <w:lang w:val="ro-RO" w:eastAsia="en-US"/>
                <w14:ligatures w14:val="standardContextual"/>
              </w:rPr>
              <w:t xml:space="preserve">Prevederi existente - </w:t>
            </w:r>
            <w:r w:rsidRPr="002305DE">
              <w:rPr>
                <w:rFonts w:eastAsiaTheme="minorHAnsi"/>
                <w:i/>
                <w:iCs/>
                <w:color w:val="000000"/>
                <w:sz w:val="18"/>
                <w:szCs w:val="18"/>
                <w:lang w:val="ro-RO" w:eastAsia="en-US"/>
                <w14:ligatures w14:val="standardContextual"/>
              </w:rPr>
              <w:t>Regulamentul nr.220/2025</w:t>
            </w:r>
          </w:p>
        </w:tc>
        <w:tc>
          <w:tcPr>
            <w:tcW w:w="1554" w:type="dxa"/>
          </w:tcPr>
          <w:p w14:paraId="263BAB15" w14:textId="628032A1" w:rsidR="00236954" w:rsidRPr="00A96E09" w:rsidRDefault="00236954" w:rsidP="00236954">
            <w:pPr>
              <w:jc w:val="both"/>
              <w:rPr>
                <w:sz w:val="18"/>
                <w:szCs w:val="18"/>
                <w:lang w:val="en-US"/>
              </w:rPr>
            </w:pPr>
            <w:r w:rsidRPr="00A96E09">
              <w:rPr>
                <w:sz w:val="18"/>
                <w:szCs w:val="18"/>
                <w:lang w:val="ro-MD"/>
              </w:rPr>
              <w:lastRenderedPageBreak/>
              <w:t>Compatibil</w:t>
            </w:r>
          </w:p>
        </w:tc>
        <w:tc>
          <w:tcPr>
            <w:tcW w:w="4683" w:type="dxa"/>
            <w:tcBorders>
              <w:top w:val="single" w:sz="4" w:space="0" w:color="auto"/>
              <w:bottom w:val="single" w:sz="4" w:space="0" w:color="auto"/>
            </w:tcBorders>
          </w:tcPr>
          <w:p w14:paraId="72B3635F" w14:textId="77777777" w:rsidR="00236954" w:rsidRPr="00A96E09" w:rsidRDefault="00236954" w:rsidP="00236954">
            <w:pPr>
              <w:jc w:val="both"/>
              <w:rPr>
                <w:sz w:val="18"/>
                <w:szCs w:val="18"/>
                <w:lang w:val="ro-MD"/>
              </w:rPr>
            </w:pPr>
          </w:p>
        </w:tc>
      </w:tr>
      <w:tr w:rsidR="00236954" w:rsidRPr="00EB7E01" w14:paraId="3328E1C8" w14:textId="77777777" w:rsidTr="00C14AF6">
        <w:trPr>
          <w:trHeight w:val="918"/>
        </w:trPr>
        <w:tc>
          <w:tcPr>
            <w:tcW w:w="3866" w:type="dxa"/>
          </w:tcPr>
          <w:p w14:paraId="417EDFEC" w14:textId="77777777" w:rsidR="00236954" w:rsidRPr="00A96E09" w:rsidRDefault="00236954" w:rsidP="00236954">
            <w:pPr>
              <w:autoSpaceDE w:val="0"/>
              <w:autoSpaceDN w:val="0"/>
              <w:adjustRightInd w:val="0"/>
              <w:spacing w:before="60" w:after="60"/>
              <w:rPr>
                <w:rFonts w:eastAsiaTheme="minorHAnsi"/>
                <w:i/>
                <w:iCs/>
                <w:color w:val="000000"/>
                <w:sz w:val="18"/>
                <w:szCs w:val="18"/>
                <w:lang w:val="ro-MD" w:eastAsia="en-US"/>
              </w:rPr>
            </w:pPr>
          </w:p>
        </w:tc>
        <w:tc>
          <w:tcPr>
            <w:tcW w:w="4356" w:type="dxa"/>
          </w:tcPr>
          <w:p w14:paraId="30A1EF61" w14:textId="60D8A1F2" w:rsidR="00236954" w:rsidRPr="00A96E09" w:rsidRDefault="00236954" w:rsidP="00236954">
            <w:pPr>
              <w:ind w:firstLine="426"/>
              <w:jc w:val="right"/>
              <w:rPr>
                <w:sz w:val="18"/>
                <w:szCs w:val="18"/>
                <w:lang w:val="ro-MD"/>
              </w:rPr>
            </w:pPr>
            <w:bookmarkStart w:id="85" w:name="_Hlk203662826"/>
            <w:r w:rsidRPr="00A96E09">
              <w:rPr>
                <w:sz w:val="18"/>
                <w:szCs w:val="18"/>
                <w:lang w:val="ro-MD"/>
              </w:rPr>
              <w:t>Anex</w:t>
            </w:r>
            <w:r>
              <w:rPr>
                <w:sz w:val="18"/>
                <w:szCs w:val="18"/>
                <w:lang w:val="ro-MD"/>
              </w:rPr>
              <w:t>a 1</w:t>
            </w:r>
            <w:r w:rsidRPr="00A96E09">
              <w:rPr>
                <w:sz w:val="18"/>
                <w:szCs w:val="18"/>
                <w:lang w:val="ro-MD"/>
              </w:rPr>
              <w:t xml:space="preserve"> </w:t>
            </w:r>
          </w:p>
          <w:p w14:paraId="4F6920A6" w14:textId="77777777" w:rsidR="00236954" w:rsidRPr="00A96E09" w:rsidRDefault="00236954" w:rsidP="00236954">
            <w:pPr>
              <w:ind w:firstLine="426"/>
              <w:jc w:val="right"/>
              <w:rPr>
                <w:sz w:val="18"/>
                <w:szCs w:val="18"/>
                <w:lang w:val="ro-MD"/>
              </w:rPr>
            </w:pPr>
            <w:r w:rsidRPr="00A96E09">
              <w:rPr>
                <w:sz w:val="18"/>
                <w:szCs w:val="18"/>
                <w:lang w:val="ro-MD"/>
              </w:rPr>
              <w:t xml:space="preserve">la Regulamentul cu privire la tratamentul </w:t>
            </w:r>
          </w:p>
          <w:p w14:paraId="0F1653EE" w14:textId="77777777" w:rsidR="00236954" w:rsidRPr="00A96E09" w:rsidRDefault="00236954" w:rsidP="00236954">
            <w:pPr>
              <w:ind w:firstLine="426"/>
              <w:jc w:val="right"/>
              <w:rPr>
                <w:sz w:val="18"/>
                <w:szCs w:val="18"/>
                <w:lang w:val="ro-MD"/>
              </w:rPr>
            </w:pPr>
            <w:r w:rsidRPr="00A96E09">
              <w:rPr>
                <w:sz w:val="18"/>
                <w:szCs w:val="18"/>
                <w:lang w:val="ro-MD"/>
              </w:rPr>
              <w:t>riscului de credit al contrapărții pentru bănci</w:t>
            </w:r>
          </w:p>
          <w:p w14:paraId="669E79D8" w14:textId="0342478A" w:rsidR="00236954" w:rsidRPr="00A96E09" w:rsidRDefault="00236954" w:rsidP="00236954">
            <w:pPr>
              <w:ind w:firstLine="426"/>
              <w:jc w:val="both"/>
              <w:rPr>
                <w:sz w:val="18"/>
                <w:szCs w:val="18"/>
                <w:lang w:val="ro-MD"/>
              </w:rPr>
            </w:pPr>
            <w:r w:rsidRPr="00A96E09">
              <w:rPr>
                <w:sz w:val="18"/>
                <w:szCs w:val="18"/>
                <w:lang w:val="ro-MD"/>
              </w:rPr>
              <w:t> </w:t>
            </w:r>
            <w:r>
              <w:rPr>
                <w:sz w:val="18"/>
                <w:szCs w:val="18"/>
                <w:lang w:val="ro-MD"/>
              </w:rPr>
              <w:t xml:space="preserve"> </w:t>
            </w:r>
          </w:p>
          <w:p w14:paraId="68B54FFF" w14:textId="77777777" w:rsidR="00236954" w:rsidRPr="00A96E09" w:rsidRDefault="00236954" w:rsidP="00236954">
            <w:pPr>
              <w:ind w:firstLine="426"/>
              <w:jc w:val="center"/>
              <w:rPr>
                <w:b/>
                <w:bCs/>
                <w:sz w:val="18"/>
                <w:szCs w:val="18"/>
                <w:lang w:val="ro-MD"/>
              </w:rPr>
            </w:pPr>
            <w:r w:rsidRPr="00A96E09">
              <w:rPr>
                <w:b/>
                <w:bCs/>
                <w:sz w:val="18"/>
                <w:szCs w:val="18"/>
                <w:lang w:val="ro-MD"/>
              </w:rPr>
              <w:t>Lista documentelor</w:t>
            </w:r>
          </w:p>
          <w:p w14:paraId="0ECAE57F" w14:textId="77777777" w:rsidR="00236954" w:rsidRPr="00A96E09" w:rsidRDefault="00236954" w:rsidP="00236954">
            <w:pPr>
              <w:ind w:firstLine="426"/>
              <w:jc w:val="center"/>
              <w:rPr>
                <w:b/>
                <w:bCs/>
                <w:sz w:val="18"/>
                <w:szCs w:val="18"/>
                <w:lang w:val="ro-MD"/>
              </w:rPr>
            </w:pPr>
            <w:r w:rsidRPr="00A96E09">
              <w:rPr>
                <w:b/>
                <w:bCs/>
                <w:sz w:val="18"/>
                <w:szCs w:val="18"/>
                <w:lang w:val="ro-MD"/>
              </w:rPr>
              <w:t>care se anexează la cererea de aprobare prealabilă a utilizării metodelor de calcul al valorii expunerii</w:t>
            </w:r>
          </w:p>
          <w:p w14:paraId="18D2F648" w14:textId="77777777" w:rsidR="00236954" w:rsidRPr="00A96E09" w:rsidRDefault="00236954" w:rsidP="00236954">
            <w:pPr>
              <w:ind w:firstLine="426"/>
              <w:jc w:val="both"/>
              <w:rPr>
                <w:b/>
                <w:bCs/>
                <w:sz w:val="18"/>
                <w:szCs w:val="18"/>
                <w:lang w:val="ro-MD"/>
              </w:rPr>
            </w:pPr>
            <w:r w:rsidRPr="00A96E09">
              <w:rPr>
                <w:b/>
                <w:bCs/>
                <w:sz w:val="18"/>
                <w:szCs w:val="18"/>
                <w:lang w:val="ro-MD"/>
              </w:rPr>
              <w:t> </w:t>
            </w:r>
          </w:p>
          <w:p w14:paraId="703EE405" w14:textId="77777777" w:rsidR="00236954" w:rsidRPr="00A96E09" w:rsidRDefault="00236954" w:rsidP="00236954">
            <w:pPr>
              <w:jc w:val="both"/>
              <w:rPr>
                <w:sz w:val="18"/>
                <w:szCs w:val="18"/>
                <w:lang w:val="ro-MD"/>
              </w:rPr>
            </w:pPr>
            <w:bookmarkStart w:id="86" w:name="_Hlk206148580"/>
            <w:r w:rsidRPr="00A96E09">
              <w:rPr>
                <w:b/>
                <w:bCs/>
                <w:sz w:val="18"/>
                <w:szCs w:val="18"/>
                <w:lang w:val="ro-MD"/>
              </w:rPr>
              <w:t>1.</w:t>
            </w:r>
            <w:r w:rsidRPr="00A96E09">
              <w:rPr>
                <w:sz w:val="18"/>
                <w:szCs w:val="18"/>
                <w:lang w:val="ro-MD"/>
              </w:rPr>
              <w:t xml:space="preserve"> Un document, semnat de persoana împuternicită de bancă, în care să fie:</w:t>
            </w:r>
          </w:p>
          <w:p w14:paraId="37BE990A" w14:textId="77777777" w:rsidR="00236954" w:rsidRPr="00A96E09" w:rsidRDefault="00236954" w:rsidP="00236954">
            <w:pPr>
              <w:jc w:val="both"/>
              <w:rPr>
                <w:sz w:val="18"/>
                <w:szCs w:val="18"/>
                <w:lang w:val="ro-MD"/>
              </w:rPr>
            </w:pPr>
            <w:r w:rsidRPr="00A96E09">
              <w:rPr>
                <w:sz w:val="18"/>
                <w:szCs w:val="18"/>
                <w:lang w:val="ro-MD"/>
              </w:rPr>
              <w:t xml:space="preserve">1.1. descris procesul de aplicare a metodei de calcul al valorii expunerii, prezentate concluziile acestuia, prin care să se confirme respectarea de către bancă a cerinţelor </w:t>
            </w:r>
            <w:r w:rsidRPr="00A96E09">
              <w:rPr>
                <w:sz w:val="18"/>
                <w:szCs w:val="18"/>
                <w:lang w:val="ro-MD"/>
              </w:rPr>
              <w:lastRenderedPageBreak/>
              <w:t>specificate la punctul 24 sau 34 pentru aplicarea metodei alese;</w:t>
            </w:r>
          </w:p>
          <w:p w14:paraId="2601ECFA" w14:textId="77777777" w:rsidR="00236954" w:rsidRPr="00A96E09" w:rsidRDefault="00236954" w:rsidP="00236954">
            <w:pPr>
              <w:jc w:val="both"/>
              <w:rPr>
                <w:sz w:val="18"/>
                <w:szCs w:val="18"/>
                <w:lang w:val="ro-MD"/>
              </w:rPr>
            </w:pPr>
            <w:r w:rsidRPr="00A96E09">
              <w:rPr>
                <w:sz w:val="18"/>
                <w:szCs w:val="18"/>
                <w:lang w:val="ro-MD"/>
              </w:rPr>
              <w:t>1.2. comunicată structura grupului din care face parte banca, autorităţile competente responsabile de supravegherea membrilor acestuia, precum şi metoda de calcul utilizată de aceştia - în cazurile specificate la punctul 24 sau 34 din prezentul regulament.</w:t>
            </w:r>
          </w:p>
          <w:p w14:paraId="32ECEC37" w14:textId="77777777" w:rsidR="00236954" w:rsidRPr="00A96E09" w:rsidRDefault="00236954" w:rsidP="00236954">
            <w:pPr>
              <w:jc w:val="both"/>
              <w:rPr>
                <w:sz w:val="18"/>
                <w:szCs w:val="18"/>
                <w:lang w:val="ro-MD"/>
              </w:rPr>
            </w:pPr>
            <w:r w:rsidRPr="00A96E09">
              <w:rPr>
                <w:b/>
                <w:bCs/>
                <w:sz w:val="18"/>
                <w:szCs w:val="18"/>
                <w:lang w:val="ro-MD"/>
              </w:rPr>
              <w:t>2.</w:t>
            </w:r>
            <w:r w:rsidRPr="00A96E09">
              <w:rPr>
                <w:sz w:val="18"/>
                <w:szCs w:val="18"/>
                <w:lang w:val="ro-MD"/>
              </w:rPr>
              <w:t xml:space="preserve"> Raportul de audit intern în care vor fi apreciate adecvarea sistemului de administrare a riscului de credit al contrapărții şi a procesului de aplicare a metodei de calcul al valorii expunerii, fiind urmărită conformitatea cu cerinţele specificate la punctul 24 sau 34.</w:t>
            </w:r>
          </w:p>
          <w:p w14:paraId="462ED910" w14:textId="5A289F37" w:rsidR="00236954" w:rsidRPr="00A96E09" w:rsidRDefault="00236954" w:rsidP="00236954">
            <w:pPr>
              <w:jc w:val="both"/>
              <w:rPr>
                <w:sz w:val="18"/>
                <w:szCs w:val="18"/>
                <w:lang w:val="ro-MD"/>
              </w:rPr>
            </w:pPr>
            <w:r w:rsidRPr="00A96E09">
              <w:rPr>
                <w:b/>
                <w:bCs/>
                <w:sz w:val="18"/>
                <w:szCs w:val="18"/>
                <w:lang w:val="ro-MD"/>
              </w:rPr>
              <w:t>3.</w:t>
            </w:r>
            <w:r w:rsidRPr="00A96E09">
              <w:rPr>
                <w:sz w:val="18"/>
                <w:szCs w:val="18"/>
                <w:lang w:val="ro-MD"/>
              </w:rPr>
              <w:t xml:space="preserve"> Documentele prin care sunt stabilite procedurile menite să asigure respectarea prevederilor capitolului III-V</w:t>
            </w:r>
            <w:r w:rsidR="001B4162">
              <w:rPr>
                <w:sz w:val="18"/>
                <w:szCs w:val="18"/>
                <w:lang w:val="ro-MD"/>
              </w:rPr>
              <w:t xml:space="preserve"> și IX</w:t>
            </w:r>
            <w:r w:rsidRPr="00A96E09">
              <w:rPr>
                <w:sz w:val="18"/>
                <w:szCs w:val="18"/>
                <w:lang w:val="ro-MD"/>
              </w:rPr>
              <w:t>.</w:t>
            </w:r>
          </w:p>
          <w:p w14:paraId="0E4A27E9" w14:textId="77777777" w:rsidR="00236954" w:rsidRPr="00A96E09" w:rsidRDefault="00236954" w:rsidP="00236954">
            <w:pPr>
              <w:jc w:val="both"/>
              <w:rPr>
                <w:sz w:val="18"/>
                <w:szCs w:val="18"/>
                <w:lang w:val="ro-MD"/>
              </w:rPr>
            </w:pPr>
            <w:r w:rsidRPr="00A96E09">
              <w:rPr>
                <w:b/>
                <w:bCs/>
                <w:sz w:val="18"/>
                <w:szCs w:val="18"/>
                <w:lang w:val="ro-MD"/>
              </w:rPr>
              <w:t>4.</w:t>
            </w:r>
            <w:r w:rsidRPr="00A96E09">
              <w:rPr>
                <w:sz w:val="18"/>
                <w:szCs w:val="18"/>
                <w:lang w:val="ro-MD"/>
              </w:rPr>
              <w:t xml:space="preserve"> Formularul C 34.00 privind riscul de credit al contrapărții prevăzut în Instrucţiunea cu privire la raportarea de către bănci în scopuri de supraveghere a rapoartelor COREP însoţit de prezentarea modalităţii în care sunt determinaţi indicatorii relevanţi pentru liniile de activitate.</w:t>
            </w:r>
          </w:p>
          <w:bookmarkEnd w:id="85"/>
          <w:bookmarkEnd w:id="86"/>
          <w:p w14:paraId="3B61381A" w14:textId="77777777" w:rsidR="00236954" w:rsidRPr="00A96E09" w:rsidRDefault="00236954" w:rsidP="00236954">
            <w:pPr>
              <w:ind w:firstLine="567"/>
              <w:jc w:val="center"/>
              <w:rPr>
                <w:bCs/>
                <w:i/>
                <w:iCs/>
                <w:sz w:val="18"/>
                <w:szCs w:val="18"/>
                <w:lang w:val="ro-MD"/>
              </w:rPr>
            </w:pPr>
          </w:p>
        </w:tc>
        <w:tc>
          <w:tcPr>
            <w:tcW w:w="1554" w:type="dxa"/>
          </w:tcPr>
          <w:p w14:paraId="1BB20F58" w14:textId="77777777" w:rsidR="00236954" w:rsidRPr="00A96E09" w:rsidRDefault="00236954" w:rsidP="00236954">
            <w:pPr>
              <w:jc w:val="both"/>
              <w:rPr>
                <w:sz w:val="18"/>
                <w:szCs w:val="18"/>
                <w:lang w:val="ro-MD"/>
              </w:rPr>
            </w:pPr>
          </w:p>
        </w:tc>
        <w:tc>
          <w:tcPr>
            <w:tcW w:w="4683" w:type="dxa"/>
            <w:tcBorders>
              <w:top w:val="single" w:sz="4" w:space="0" w:color="auto"/>
              <w:bottom w:val="single" w:sz="4" w:space="0" w:color="auto"/>
            </w:tcBorders>
          </w:tcPr>
          <w:p w14:paraId="19036AE7" w14:textId="2373DF82" w:rsidR="00236954" w:rsidRPr="00A96E09" w:rsidRDefault="00236954" w:rsidP="00236954">
            <w:pPr>
              <w:jc w:val="both"/>
              <w:rPr>
                <w:sz w:val="18"/>
                <w:szCs w:val="18"/>
                <w:lang w:val="ro-MD"/>
              </w:rPr>
            </w:pPr>
            <w:r w:rsidRPr="00A96E09">
              <w:rPr>
                <w:sz w:val="18"/>
                <w:szCs w:val="18"/>
                <w:lang w:val="en-US"/>
              </w:rPr>
              <w:t>Anexa inclusă în actul național reprezintă o creație națională adaptată specificului procedurii de aprobare prealabilă, prevăzută de legislația internă. Aceasta detaliază și clarifică condițiile și criteriile aplicabile în procesul de autorizare, facilitând astfel o implementare coerentă și eficientă a cadrului legislativ, în concordanță cu particularitățile naționale.</w:t>
            </w:r>
          </w:p>
        </w:tc>
      </w:tr>
    </w:tbl>
    <w:p w14:paraId="42B80E7E" w14:textId="77777777" w:rsidR="00EB2BE7" w:rsidRPr="00A96E09" w:rsidRDefault="00EB2BE7">
      <w:pPr>
        <w:rPr>
          <w:sz w:val="18"/>
          <w:szCs w:val="18"/>
          <w:lang w:val="ro-MD"/>
        </w:rPr>
      </w:pPr>
    </w:p>
    <w:p w14:paraId="34BD39BE" w14:textId="6B76AC2C" w:rsidR="00493520" w:rsidRPr="00A96E09" w:rsidRDefault="00C14AF6">
      <w:pPr>
        <w:rPr>
          <w:sz w:val="18"/>
          <w:szCs w:val="18"/>
          <w:lang w:val="ro-MD"/>
        </w:rPr>
      </w:pPr>
      <w:r w:rsidRPr="00A96E09">
        <w:rPr>
          <w:sz w:val="18"/>
          <w:szCs w:val="18"/>
          <w:lang w:val="ro-MD"/>
        </w:rPr>
        <w:br w:type="textWrapping" w:clear="all"/>
      </w:r>
    </w:p>
    <w:sectPr w:rsidR="00493520" w:rsidRPr="00A96E09" w:rsidSect="005736A5">
      <w:headerReference w:type="even" r:id="rId108"/>
      <w:headerReference w:type="default" r:id="rId109"/>
      <w:footerReference w:type="even" r:id="rId110"/>
      <w:footerReference w:type="default" r:id="rId111"/>
      <w:headerReference w:type="first" r:id="rId112"/>
      <w:footerReference w:type="first" r:id="rId113"/>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F13D" w14:textId="77777777" w:rsidR="00B44565" w:rsidRDefault="00B44565" w:rsidP="00525701">
      <w:r>
        <w:separator/>
      </w:r>
    </w:p>
  </w:endnote>
  <w:endnote w:type="continuationSeparator" w:id="0">
    <w:p w14:paraId="70234B62" w14:textId="77777777" w:rsidR="00B44565" w:rsidRDefault="00B44565"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0E1A" w14:textId="77777777" w:rsidR="00494263" w:rsidRDefault="00494263" w:rsidP="00525701">
    <w:pPr>
      <w:pStyle w:val="Footer"/>
      <w:ind w:right="360"/>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9BF7" w14:textId="77777777" w:rsidR="00494263" w:rsidRDefault="00494263" w:rsidP="005F3A7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2B2B" w14:textId="604A3906" w:rsidR="00120C99" w:rsidRDefault="00120C99">
    <w:pPr>
      <w:pStyle w:val="Footer"/>
    </w:pPr>
    <w:r>
      <w:rPr>
        <w:noProof/>
      </w:rPr>
      <mc:AlternateContent>
        <mc:Choice Requires="wps">
          <w:drawing>
            <wp:anchor distT="0" distB="0" distL="0" distR="0" simplePos="0" relativeHeight="251661312" behindDoc="0" locked="0" layoutInCell="1" allowOverlap="1" wp14:anchorId="1A7A886E" wp14:editId="197D9F4E">
              <wp:simplePos x="635" y="635"/>
              <wp:positionH relativeFrom="page">
                <wp:align>center</wp:align>
              </wp:positionH>
              <wp:positionV relativeFrom="page">
                <wp:align>bottom</wp:align>
              </wp:positionV>
              <wp:extent cx="443865" cy="443865"/>
              <wp:effectExtent l="0" t="0" r="4445" b="0"/>
              <wp:wrapNone/>
              <wp:docPr id="24" name="Text Box 2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19138" w14:textId="533CBF5A" w:rsidR="00120C99" w:rsidRPr="00120C99" w:rsidRDefault="00120C99" w:rsidP="00120C99">
                          <w:pPr>
                            <w:rPr>
                              <w:rFonts w:ascii="Calibri" w:eastAsia="Calibri" w:hAnsi="Calibri" w:cs="Calibri"/>
                              <w:noProof/>
                              <w:color w:val="000000"/>
                              <w:sz w:val="16"/>
                              <w:szCs w:val="16"/>
                              <w:lang w:val="en-US"/>
                            </w:rPr>
                          </w:pPr>
                          <w:r w:rsidRPr="00120C99">
                            <w:rPr>
                              <w:rFonts w:ascii="Calibri" w:eastAsia="Calibri" w:hAnsi="Calibri" w:cs="Calibri"/>
                              <w:noProof/>
                              <w:color w:val="000000"/>
                              <w:sz w:val="16"/>
                              <w:szCs w:val="16"/>
                              <w:lang w:val="en-US"/>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7A886E" id="_x0000_t202" coordsize="21600,21600" o:spt="202" path="m,l,21600r21600,l21600,xe">
              <v:stroke joinstyle="miter"/>
              <v:path gradientshapeok="t" o:connecttype="rect"/>
            </v:shapetype>
            <v:shape id="Text Box 24" o:spid="_x0000_s1027"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B519138" w14:textId="533CBF5A" w:rsidR="00120C99" w:rsidRPr="00120C99" w:rsidRDefault="00120C99" w:rsidP="00120C99">
                    <w:pPr>
                      <w:rPr>
                        <w:rFonts w:ascii="Calibri" w:eastAsia="Calibri" w:hAnsi="Calibri" w:cs="Calibri"/>
                        <w:noProof/>
                        <w:color w:val="000000"/>
                        <w:sz w:val="16"/>
                        <w:szCs w:val="16"/>
                        <w:lang w:val="en-US"/>
                      </w:rPr>
                    </w:pPr>
                    <w:r w:rsidRPr="00120C99">
                      <w:rPr>
                        <w:rFonts w:ascii="Calibri" w:eastAsia="Calibri" w:hAnsi="Calibri" w:cs="Calibri"/>
                        <w:noProof/>
                        <w:color w:val="000000"/>
                        <w:sz w:val="16"/>
                        <w:szCs w:val="16"/>
                        <w:lang w:val="en-US"/>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6D56" w14:textId="77777777" w:rsidR="00B44565" w:rsidRDefault="00B44565" w:rsidP="00525701">
      <w:r>
        <w:separator/>
      </w:r>
    </w:p>
  </w:footnote>
  <w:footnote w:type="continuationSeparator" w:id="0">
    <w:p w14:paraId="4540F2DC" w14:textId="77777777" w:rsidR="00B44565" w:rsidRDefault="00B44565"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086A19FB" w:rsidR="00494263" w:rsidRDefault="00494263" w:rsidP="00525701">
    <w:pPr>
      <w:pStyle w:val="Header"/>
      <w:jc w:val="right"/>
    </w:pPr>
    <w:bookmarkStart w:id="87" w:name="TITUS1HeaderEvenPages"/>
    <w:r>
      <w:t xml:space="preserve"> </w:t>
    </w:r>
  </w:p>
  <w:bookmarkEnd w:id="87"/>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3C0AE118" w:rsidR="00494263" w:rsidRDefault="00494263" w:rsidP="00525701">
    <w:pPr>
      <w:pStyle w:val="Header"/>
      <w:jc w:val="right"/>
    </w:pPr>
    <w:bookmarkStart w:id="88" w:name="TITUS1HeaderPrimary"/>
    <w:r>
      <w:t xml:space="preserve"> </w:t>
    </w:r>
  </w:p>
  <w:bookmarkEnd w:id="88"/>
  <w:p w14:paraId="7E223774" w14:textId="77777777" w:rsidR="00494263" w:rsidRDefault="00494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86D8" w14:textId="0D863FCA" w:rsidR="00120C99" w:rsidRDefault="00120C99">
    <w:pPr>
      <w:pStyle w:val="Header"/>
    </w:pPr>
    <w:r>
      <w:rPr>
        <w:noProof/>
      </w:rPr>
      <mc:AlternateContent>
        <mc:Choice Requires="wps">
          <w:drawing>
            <wp:anchor distT="0" distB="0" distL="0" distR="0" simplePos="0" relativeHeight="251658240" behindDoc="0" locked="0" layoutInCell="1" allowOverlap="1" wp14:anchorId="7249E1C6" wp14:editId="5875A95A">
              <wp:simplePos x="635" y="635"/>
              <wp:positionH relativeFrom="page">
                <wp:align>right</wp:align>
              </wp:positionH>
              <wp:positionV relativeFrom="page">
                <wp:align>top</wp:align>
              </wp:positionV>
              <wp:extent cx="443865" cy="443865"/>
              <wp:effectExtent l="0" t="0" r="0" b="4445"/>
              <wp:wrapNone/>
              <wp:docPr id="21" name="Text Box 2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4606C9" w14:textId="297F315A" w:rsidR="00120C99" w:rsidRPr="00120C99" w:rsidRDefault="00120C99" w:rsidP="00120C99">
                          <w:pPr>
                            <w:rPr>
                              <w:rFonts w:ascii="Calibri" w:eastAsia="Calibri" w:hAnsi="Calibri" w:cs="Calibri"/>
                              <w:noProof/>
                              <w:color w:val="000000"/>
                            </w:rPr>
                          </w:pPr>
                          <w:r w:rsidRPr="00120C99">
                            <w:rPr>
                              <w:rFonts w:ascii="Calibri" w:eastAsia="Calibri" w:hAnsi="Calibri" w:cs="Calibri"/>
                              <w:noProof/>
                              <w:color w:val="000000"/>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49E1C6" id="_x0000_t202" coordsize="21600,21600" o:spt="202" path="m,l,21600r21600,l21600,xe">
              <v:stroke joinstyle="miter"/>
              <v:path gradientshapeok="t" o:connecttype="rect"/>
            </v:shapetype>
            <v:shape id="Text Box 21" o:spid="_x0000_s1026" type="#_x0000_t202" alt="SP-2"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04606C9" w14:textId="297F315A" w:rsidR="00120C99" w:rsidRPr="00120C99" w:rsidRDefault="00120C99" w:rsidP="00120C99">
                    <w:pPr>
                      <w:rPr>
                        <w:rFonts w:ascii="Calibri" w:eastAsia="Calibri" w:hAnsi="Calibri" w:cs="Calibri"/>
                        <w:noProof/>
                        <w:color w:val="000000"/>
                      </w:rPr>
                    </w:pPr>
                    <w:r w:rsidRPr="00120C99">
                      <w:rPr>
                        <w:rFonts w:ascii="Calibri" w:eastAsia="Calibri" w:hAnsi="Calibri" w:cs="Calibri"/>
                        <w:noProof/>
                        <w:color w:val="000000"/>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A1DBF"/>
    <w:multiLevelType w:val="hybridMultilevel"/>
    <w:tmpl w:val="C95EBF54"/>
    <w:lvl w:ilvl="0" w:tplc="2FE6F71C">
      <w:start w:val="128"/>
      <w:numFmt w:val="decimal"/>
      <w:lvlText w:val="%1."/>
      <w:lvlJc w:val="left"/>
      <w:pPr>
        <w:ind w:left="1555" w:hanging="42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39452C"/>
    <w:multiLevelType w:val="multilevel"/>
    <w:tmpl w:val="0A8886FA"/>
    <w:lvl w:ilvl="0">
      <w:start w:val="118"/>
      <w:numFmt w:val="decimal"/>
      <w:lvlText w:val="%1."/>
      <w:lvlJc w:val="left"/>
      <w:pPr>
        <w:ind w:left="1348" w:hanging="780"/>
      </w:pPr>
      <w:rPr>
        <w:rFonts w:hint="default"/>
        <w:b/>
        <w:bCs/>
      </w:rPr>
    </w:lvl>
    <w:lvl w:ilvl="1">
      <w:start w:val="1"/>
      <w:numFmt w:val="decimal"/>
      <w:lvlText w:val="%1.%2."/>
      <w:lvlJc w:val="left"/>
      <w:pPr>
        <w:ind w:left="2341" w:hanging="780"/>
      </w:pPr>
      <w:rPr>
        <w:rFonts w:hint="default"/>
      </w:rPr>
    </w:lvl>
    <w:lvl w:ilvl="2">
      <w:start w:val="1"/>
      <w:numFmt w:val="decimal"/>
      <w:lvlText w:val="%1.%2.%3."/>
      <w:lvlJc w:val="left"/>
      <w:pPr>
        <w:ind w:left="2483" w:hanging="780"/>
      </w:pPr>
      <w:rPr>
        <w:rFonts w:hint="default"/>
      </w:rPr>
    </w:lvl>
    <w:lvl w:ilvl="3">
      <w:start w:val="1"/>
      <w:numFmt w:val="decimal"/>
      <w:lvlText w:val="%1.%2.%3.%4."/>
      <w:lvlJc w:val="left"/>
      <w:pPr>
        <w:ind w:left="3787" w:hanging="780"/>
      </w:pPr>
      <w:rPr>
        <w:rFonts w:hint="default"/>
      </w:rPr>
    </w:lvl>
    <w:lvl w:ilvl="4">
      <w:start w:val="1"/>
      <w:numFmt w:val="decimal"/>
      <w:lvlText w:val="%1.%2.%3.%4.%5."/>
      <w:lvlJc w:val="left"/>
      <w:pPr>
        <w:ind w:left="4900" w:hanging="1080"/>
      </w:pPr>
      <w:rPr>
        <w:rFonts w:hint="default"/>
      </w:rPr>
    </w:lvl>
    <w:lvl w:ilvl="5">
      <w:start w:val="1"/>
      <w:numFmt w:val="decimal"/>
      <w:lvlText w:val="%1.%2.%3.%4.%5.%6."/>
      <w:lvlJc w:val="left"/>
      <w:pPr>
        <w:ind w:left="5713" w:hanging="1080"/>
      </w:pPr>
      <w:rPr>
        <w:rFonts w:hint="default"/>
      </w:rPr>
    </w:lvl>
    <w:lvl w:ilvl="6">
      <w:start w:val="1"/>
      <w:numFmt w:val="decimal"/>
      <w:lvlText w:val="%1.%2.%3.%4.%5.%6.%7."/>
      <w:lvlJc w:val="left"/>
      <w:pPr>
        <w:ind w:left="6886" w:hanging="1440"/>
      </w:pPr>
      <w:rPr>
        <w:rFonts w:hint="default"/>
      </w:rPr>
    </w:lvl>
    <w:lvl w:ilvl="7">
      <w:start w:val="1"/>
      <w:numFmt w:val="decimal"/>
      <w:lvlText w:val="%1.%2.%3.%4.%5.%6.%7.%8."/>
      <w:lvlJc w:val="left"/>
      <w:pPr>
        <w:ind w:left="7699" w:hanging="1440"/>
      </w:pPr>
      <w:rPr>
        <w:rFonts w:hint="default"/>
      </w:rPr>
    </w:lvl>
    <w:lvl w:ilvl="8">
      <w:start w:val="1"/>
      <w:numFmt w:val="decimal"/>
      <w:lvlText w:val="%1.%2.%3.%4.%5.%6.%7.%8.%9."/>
      <w:lvlJc w:val="left"/>
      <w:pPr>
        <w:ind w:left="8872" w:hanging="1800"/>
      </w:pPr>
      <w:rPr>
        <w:rFonts w:hint="default"/>
      </w:rPr>
    </w:lvl>
  </w:abstractNum>
  <w:abstractNum w:abstractNumId="14"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2F783BE2"/>
    <w:multiLevelType w:val="multilevel"/>
    <w:tmpl w:val="92FEC1FC"/>
    <w:lvl w:ilvl="0">
      <w:start w:val="134"/>
      <w:numFmt w:val="decimal"/>
      <w:lvlText w:val="%1."/>
      <w:lvlJc w:val="left"/>
      <w:pPr>
        <w:ind w:left="600" w:hanging="600"/>
      </w:pPr>
      <w:rPr>
        <w:rFonts w:hint="default"/>
        <w:b/>
        <w:bCs/>
      </w:rPr>
    </w:lvl>
    <w:lvl w:ilvl="1">
      <w:start w:val="1"/>
      <w:numFmt w:val="decimal"/>
      <w:lvlText w:val="%1.%2."/>
      <w:lvlJc w:val="left"/>
      <w:pPr>
        <w:ind w:left="1026" w:hanging="600"/>
      </w:pPr>
      <w:rPr>
        <w:rFonts w:hint="default"/>
        <w:sz w:val="18"/>
        <w:szCs w:val="18"/>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0FD19FF"/>
    <w:multiLevelType w:val="multilevel"/>
    <w:tmpl w:val="11E8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8"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03D6A"/>
    <w:multiLevelType w:val="multilevel"/>
    <w:tmpl w:val="50BA4224"/>
    <w:lvl w:ilvl="0">
      <w:start w:val="111"/>
      <w:numFmt w:val="decimal"/>
      <w:lvlText w:val="%1."/>
      <w:lvlJc w:val="left"/>
      <w:pPr>
        <w:ind w:left="600" w:hanging="600"/>
      </w:pPr>
      <w:rPr>
        <w:rFonts w:hint="default"/>
        <w:b/>
        <w:bCs/>
      </w:rPr>
    </w:lvl>
    <w:lvl w:ilvl="1">
      <w:start w:val="10"/>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27F534C"/>
    <w:multiLevelType w:val="multilevel"/>
    <w:tmpl w:val="330E0180"/>
    <w:lvl w:ilvl="0">
      <w:start w:val="125"/>
      <w:numFmt w:val="decimal"/>
      <w:lvlText w:val="%1."/>
      <w:lvlJc w:val="left"/>
      <w:pPr>
        <w:ind w:left="600" w:hanging="600"/>
      </w:pPr>
      <w:rPr>
        <w:rFonts w:hint="default"/>
        <w:b/>
        <w:bCs/>
      </w:rPr>
    </w:lvl>
    <w:lvl w:ilvl="1">
      <w:start w:val="1"/>
      <w:numFmt w:val="decimal"/>
      <w:lvlText w:val="%1.%2."/>
      <w:lvlJc w:val="left"/>
      <w:pPr>
        <w:ind w:left="1026" w:hanging="600"/>
      </w:pPr>
      <w:rPr>
        <w:rFonts w:hint="default"/>
        <w:sz w:val="18"/>
        <w:szCs w:val="18"/>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871FF"/>
    <w:multiLevelType w:val="multilevel"/>
    <w:tmpl w:val="DAD23A7E"/>
    <w:lvl w:ilvl="0">
      <w:start w:val="140"/>
      <w:numFmt w:val="decimal"/>
      <w:lvlText w:val="%1."/>
      <w:lvlJc w:val="left"/>
      <w:pPr>
        <w:ind w:left="600" w:hanging="600"/>
      </w:pPr>
      <w:rPr>
        <w:rFonts w:hint="default"/>
        <w:b/>
        <w:bCs/>
      </w:rPr>
    </w:lvl>
    <w:lvl w:ilvl="1">
      <w:start w:val="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C5A40"/>
    <w:multiLevelType w:val="multilevel"/>
    <w:tmpl w:val="574A43A8"/>
    <w:lvl w:ilvl="0">
      <w:start w:val="132"/>
      <w:numFmt w:val="decimal"/>
      <w:lvlText w:val="%1."/>
      <w:lvlJc w:val="left"/>
      <w:pPr>
        <w:ind w:left="600" w:hanging="600"/>
      </w:pPr>
      <w:rPr>
        <w:rFonts w:hint="default"/>
        <w:b/>
        <w:bCs/>
      </w:rPr>
    </w:lvl>
    <w:lvl w:ilvl="1">
      <w:start w:val="1"/>
      <w:numFmt w:val="decimal"/>
      <w:lvlText w:val="%1.%2."/>
      <w:lvlJc w:val="left"/>
      <w:pPr>
        <w:ind w:left="1026" w:hanging="600"/>
      </w:pPr>
      <w:rPr>
        <w:rFonts w:hint="default"/>
        <w:sz w:val="18"/>
        <w:szCs w:val="18"/>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7253BE8"/>
    <w:multiLevelType w:val="multilevel"/>
    <w:tmpl w:val="C08E7802"/>
    <w:lvl w:ilvl="0">
      <w:start w:val="163"/>
      <w:numFmt w:val="decimal"/>
      <w:lvlText w:val="%1."/>
      <w:lvlJc w:val="left"/>
      <w:pPr>
        <w:ind w:left="600" w:hanging="600"/>
      </w:pPr>
      <w:rPr>
        <w:rFonts w:hint="default"/>
        <w:b/>
        <w:bCs/>
      </w:rPr>
    </w:lvl>
    <w:lvl w:ilvl="1">
      <w:start w:val="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B34877"/>
    <w:multiLevelType w:val="hybridMultilevel"/>
    <w:tmpl w:val="60BED068"/>
    <w:lvl w:ilvl="0" w:tplc="B10CBD60">
      <w:start w:val="118"/>
      <w:numFmt w:val="decimal"/>
      <w:lvlText w:val="%1."/>
      <w:lvlJc w:val="left"/>
      <w:pPr>
        <w:ind w:left="1555" w:hanging="42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5" w15:restartNumberingAfterBreak="0">
    <w:nsid w:val="6C5957CE"/>
    <w:multiLevelType w:val="multilevel"/>
    <w:tmpl w:val="6EB0C094"/>
    <w:lvl w:ilvl="0">
      <w:start w:val="150"/>
      <w:numFmt w:val="decimal"/>
      <w:lvlText w:val="%1."/>
      <w:lvlJc w:val="left"/>
      <w:pPr>
        <w:ind w:left="600" w:hanging="600"/>
      </w:pPr>
      <w:rPr>
        <w:rFonts w:hint="default"/>
        <w:b/>
        <w:bCs/>
      </w:rPr>
    </w:lvl>
    <w:lvl w:ilvl="1">
      <w:start w:val="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56A2758"/>
    <w:multiLevelType w:val="multilevel"/>
    <w:tmpl w:val="268AD66E"/>
    <w:lvl w:ilvl="0">
      <w:start w:val="59"/>
      <w:numFmt w:val="decimal"/>
      <w:lvlText w:val="%1."/>
      <w:lvlJc w:val="left"/>
      <w:pPr>
        <w:ind w:left="1070" w:hanging="360"/>
      </w:pPr>
      <w:rPr>
        <w:rFonts w:ascii="Times New Roman" w:hAnsi="Times New Roman" w:cs="Times New Roman" w:hint="default"/>
        <w:b/>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BE3442"/>
    <w:multiLevelType w:val="multilevel"/>
    <w:tmpl w:val="3ED85424"/>
    <w:lvl w:ilvl="0">
      <w:start w:val="36"/>
      <w:numFmt w:val="decimal"/>
      <w:lvlText w:val="%1."/>
      <w:lvlJc w:val="left"/>
      <w:pPr>
        <w:ind w:left="5322" w:hanging="360"/>
      </w:pPr>
      <w:rPr>
        <w:rFonts w:ascii="Times New Roman" w:hAnsi="Times New Roman" w:cs="Times New Roman" w:hint="default"/>
        <w:b/>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0885044">
    <w:abstractNumId w:val="26"/>
  </w:num>
  <w:num w:numId="2" w16cid:durableId="1281303259">
    <w:abstractNumId w:val="2"/>
  </w:num>
  <w:num w:numId="3" w16cid:durableId="2111655017">
    <w:abstractNumId w:val="10"/>
  </w:num>
  <w:num w:numId="4" w16cid:durableId="221985756">
    <w:abstractNumId w:val="12"/>
  </w:num>
  <w:num w:numId="5" w16cid:durableId="1562212201">
    <w:abstractNumId w:val="8"/>
  </w:num>
  <w:num w:numId="6" w16cid:durableId="1918401064">
    <w:abstractNumId w:val="25"/>
  </w:num>
  <w:num w:numId="7" w16cid:durableId="2075425383">
    <w:abstractNumId w:val="23"/>
  </w:num>
  <w:num w:numId="8" w16cid:durableId="1466115833">
    <w:abstractNumId w:val="20"/>
  </w:num>
  <w:num w:numId="9" w16cid:durableId="1720474486">
    <w:abstractNumId w:val="39"/>
  </w:num>
  <w:num w:numId="10" w16cid:durableId="65225206">
    <w:abstractNumId w:val="9"/>
  </w:num>
  <w:num w:numId="11" w16cid:durableId="491340404">
    <w:abstractNumId w:val="40"/>
  </w:num>
  <w:num w:numId="12" w16cid:durableId="184750809">
    <w:abstractNumId w:val="4"/>
  </w:num>
  <w:num w:numId="13" w16cid:durableId="1764256060">
    <w:abstractNumId w:val="14"/>
  </w:num>
  <w:num w:numId="14" w16cid:durableId="224682862">
    <w:abstractNumId w:val="5"/>
  </w:num>
  <w:num w:numId="15" w16cid:durableId="510031345">
    <w:abstractNumId w:val="7"/>
  </w:num>
  <w:num w:numId="16" w16cid:durableId="1006981231">
    <w:abstractNumId w:val="24"/>
  </w:num>
  <w:num w:numId="17" w16cid:durableId="1926382253">
    <w:abstractNumId w:val="31"/>
  </w:num>
  <w:num w:numId="18" w16cid:durableId="1241713063">
    <w:abstractNumId w:val="29"/>
  </w:num>
  <w:num w:numId="19" w16cid:durableId="1439905714">
    <w:abstractNumId w:val="36"/>
  </w:num>
  <w:num w:numId="20" w16cid:durableId="543374166">
    <w:abstractNumId w:val="1"/>
  </w:num>
  <w:num w:numId="21" w16cid:durableId="976297114">
    <w:abstractNumId w:val="17"/>
  </w:num>
  <w:num w:numId="22" w16cid:durableId="593055656">
    <w:abstractNumId w:val="27"/>
  </w:num>
  <w:num w:numId="23" w16cid:durableId="630792302">
    <w:abstractNumId w:val="0"/>
  </w:num>
  <w:num w:numId="24" w16cid:durableId="1337079218">
    <w:abstractNumId w:val="37"/>
  </w:num>
  <w:num w:numId="25" w16cid:durableId="520241099">
    <w:abstractNumId w:val="11"/>
  </w:num>
  <w:num w:numId="26" w16cid:durableId="1684744183">
    <w:abstractNumId w:val="19"/>
  </w:num>
  <w:num w:numId="27" w16cid:durableId="1415207291">
    <w:abstractNumId w:val="6"/>
  </w:num>
  <w:num w:numId="28" w16cid:durableId="1847402393">
    <w:abstractNumId w:val="32"/>
  </w:num>
  <w:num w:numId="29" w16cid:durableId="1170215710">
    <w:abstractNumId w:val="18"/>
  </w:num>
  <w:num w:numId="30" w16cid:durableId="175770609">
    <w:abstractNumId w:val="41"/>
  </w:num>
  <w:num w:numId="31" w16cid:durableId="1646468177">
    <w:abstractNumId w:val="38"/>
  </w:num>
  <w:num w:numId="32" w16cid:durableId="648552905">
    <w:abstractNumId w:val="21"/>
  </w:num>
  <w:num w:numId="33" w16cid:durableId="1828477652">
    <w:abstractNumId w:val="13"/>
  </w:num>
  <w:num w:numId="34" w16cid:durableId="1128209434">
    <w:abstractNumId w:val="22"/>
  </w:num>
  <w:num w:numId="35" w16cid:durableId="989679154">
    <w:abstractNumId w:val="3"/>
  </w:num>
  <w:num w:numId="36" w16cid:durableId="50010103">
    <w:abstractNumId w:val="15"/>
  </w:num>
  <w:num w:numId="37" w16cid:durableId="835726083">
    <w:abstractNumId w:val="28"/>
  </w:num>
  <w:num w:numId="38" w16cid:durableId="1425102433">
    <w:abstractNumId w:val="35"/>
  </w:num>
  <w:num w:numId="39" w16cid:durableId="754012651">
    <w:abstractNumId w:val="33"/>
  </w:num>
  <w:num w:numId="40" w16cid:durableId="938373847">
    <w:abstractNumId w:val="30"/>
  </w:num>
  <w:num w:numId="41" w16cid:durableId="689651108">
    <w:abstractNumId w:val="42"/>
  </w:num>
  <w:num w:numId="42" w16cid:durableId="1469009747">
    <w:abstractNumId w:val="34"/>
  </w:num>
  <w:num w:numId="43" w16cid:durableId="176221627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3AF8"/>
    <w:rsid w:val="00010D81"/>
    <w:rsid w:val="000158D2"/>
    <w:rsid w:val="0001798B"/>
    <w:rsid w:val="0002546B"/>
    <w:rsid w:val="00025A92"/>
    <w:rsid w:val="00025B24"/>
    <w:rsid w:val="0003070C"/>
    <w:rsid w:val="00030776"/>
    <w:rsid w:val="0003092F"/>
    <w:rsid w:val="000335E0"/>
    <w:rsid w:val="000377D5"/>
    <w:rsid w:val="000453F8"/>
    <w:rsid w:val="000473F3"/>
    <w:rsid w:val="000520BC"/>
    <w:rsid w:val="00052F52"/>
    <w:rsid w:val="00052FA0"/>
    <w:rsid w:val="0005447A"/>
    <w:rsid w:val="00055784"/>
    <w:rsid w:val="00060B1B"/>
    <w:rsid w:val="00071E67"/>
    <w:rsid w:val="00074E4C"/>
    <w:rsid w:val="00075388"/>
    <w:rsid w:val="0007705C"/>
    <w:rsid w:val="000835E1"/>
    <w:rsid w:val="00090866"/>
    <w:rsid w:val="00096474"/>
    <w:rsid w:val="000A14A7"/>
    <w:rsid w:val="000A29BF"/>
    <w:rsid w:val="000A3B3F"/>
    <w:rsid w:val="000A5F47"/>
    <w:rsid w:val="000A7685"/>
    <w:rsid w:val="000B234D"/>
    <w:rsid w:val="000C4B5C"/>
    <w:rsid w:val="000D1910"/>
    <w:rsid w:val="000D1A25"/>
    <w:rsid w:val="000D3115"/>
    <w:rsid w:val="000D35FB"/>
    <w:rsid w:val="000D3919"/>
    <w:rsid w:val="000D761E"/>
    <w:rsid w:val="000D7CA1"/>
    <w:rsid w:val="000E24D6"/>
    <w:rsid w:val="000E329A"/>
    <w:rsid w:val="000F1893"/>
    <w:rsid w:val="000F19A0"/>
    <w:rsid w:val="000F25BB"/>
    <w:rsid w:val="000F50DE"/>
    <w:rsid w:val="00100467"/>
    <w:rsid w:val="001015FD"/>
    <w:rsid w:val="001018B3"/>
    <w:rsid w:val="00114F17"/>
    <w:rsid w:val="00117FF8"/>
    <w:rsid w:val="00120C99"/>
    <w:rsid w:val="00122E8A"/>
    <w:rsid w:val="00130EEF"/>
    <w:rsid w:val="00134814"/>
    <w:rsid w:val="00136C35"/>
    <w:rsid w:val="00140596"/>
    <w:rsid w:val="0014109B"/>
    <w:rsid w:val="00141A4D"/>
    <w:rsid w:val="00142B82"/>
    <w:rsid w:val="001432F6"/>
    <w:rsid w:val="00143DF7"/>
    <w:rsid w:val="00147A76"/>
    <w:rsid w:val="001531F1"/>
    <w:rsid w:val="00154C01"/>
    <w:rsid w:val="00155A7F"/>
    <w:rsid w:val="00155E00"/>
    <w:rsid w:val="0015608E"/>
    <w:rsid w:val="00157FF4"/>
    <w:rsid w:val="00163F5B"/>
    <w:rsid w:val="001640E9"/>
    <w:rsid w:val="00171800"/>
    <w:rsid w:val="001731ED"/>
    <w:rsid w:val="00175747"/>
    <w:rsid w:val="00180CC3"/>
    <w:rsid w:val="00190B87"/>
    <w:rsid w:val="00191014"/>
    <w:rsid w:val="00191F99"/>
    <w:rsid w:val="00191FA2"/>
    <w:rsid w:val="001924A9"/>
    <w:rsid w:val="001A1FB8"/>
    <w:rsid w:val="001A3139"/>
    <w:rsid w:val="001A4DE8"/>
    <w:rsid w:val="001A59F8"/>
    <w:rsid w:val="001B1C01"/>
    <w:rsid w:val="001B2C74"/>
    <w:rsid w:val="001B376C"/>
    <w:rsid w:val="001B4162"/>
    <w:rsid w:val="001B680B"/>
    <w:rsid w:val="001B73D6"/>
    <w:rsid w:val="001C246D"/>
    <w:rsid w:val="001C3DB0"/>
    <w:rsid w:val="001C69FC"/>
    <w:rsid w:val="001D588A"/>
    <w:rsid w:val="001D7229"/>
    <w:rsid w:val="001D728A"/>
    <w:rsid w:val="001D72F3"/>
    <w:rsid w:val="001E0972"/>
    <w:rsid w:val="001E50C8"/>
    <w:rsid w:val="001E76F1"/>
    <w:rsid w:val="001F02C8"/>
    <w:rsid w:val="001F5296"/>
    <w:rsid w:val="001F5A07"/>
    <w:rsid w:val="001F65BA"/>
    <w:rsid w:val="001F6AF5"/>
    <w:rsid w:val="002038FD"/>
    <w:rsid w:val="00207FD9"/>
    <w:rsid w:val="00216EAF"/>
    <w:rsid w:val="00221B89"/>
    <w:rsid w:val="00222AAD"/>
    <w:rsid w:val="00225B07"/>
    <w:rsid w:val="00226B2A"/>
    <w:rsid w:val="00230576"/>
    <w:rsid w:val="002305DE"/>
    <w:rsid w:val="00231F49"/>
    <w:rsid w:val="002321CD"/>
    <w:rsid w:val="00232A60"/>
    <w:rsid w:val="0023610D"/>
    <w:rsid w:val="00236954"/>
    <w:rsid w:val="0024642E"/>
    <w:rsid w:val="00247DEC"/>
    <w:rsid w:val="00260EFD"/>
    <w:rsid w:val="00261D5C"/>
    <w:rsid w:val="00263956"/>
    <w:rsid w:val="00272561"/>
    <w:rsid w:val="002737F5"/>
    <w:rsid w:val="00273C2C"/>
    <w:rsid w:val="00273D6E"/>
    <w:rsid w:val="00274506"/>
    <w:rsid w:val="00282745"/>
    <w:rsid w:val="00283894"/>
    <w:rsid w:val="00284EC0"/>
    <w:rsid w:val="00287961"/>
    <w:rsid w:val="00290406"/>
    <w:rsid w:val="00290DDA"/>
    <w:rsid w:val="0029210A"/>
    <w:rsid w:val="00292CEF"/>
    <w:rsid w:val="00293EEC"/>
    <w:rsid w:val="002A0E3F"/>
    <w:rsid w:val="002A1BE9"/>
    <w:rsid w:val="002A2E6B"/>
    <w:rsid w:val="002A34C7"/>
    <w:rsid w:val="002A4007"/>
    <w:rsid w:val="002A75A8"/>
    <w:rsid w:val="002A7B53"/>
    <w:rsid w:val="002B630E"/>
    <w:rsid w:val="002B7041"/>
    <w:rsid w:val="002B7D11"/>
    <w:rsid w:val="002C24E3"/>
    <w:rsid w:val="002C4B00"/>
    <w:rsid w:val="002D0141"/>
    <w:rsid w:val="002D3C92"/>
    <w:rsid w:val="002D57E8"/>
    <w:rsid w:val="002E144D"/>
    <w:rsid w:val="002E23E7"/>
    <w:rsid w:val="002E7BD3"/>
    <w:rsid w:val="002F30E6"/>
    <w:rsid w:val="002F5029"/>
    <w:rsid w:val="0030064B"/>
    <w:rsid w:val="00302B6B"/>
    <w:rsid w:val="00304DDE"/>
    <w:rsid w:val="00306BFA"/>
    <w:rsid w:val="00325033"/>
    <w:rsid w:val="003251A4"/>
    <w:rsid w:val="00326078"/>
    <w:rsid w:val="00326AB9"/>
    <w:rsid w:val="00333386"/>
    <w:rsid w:val="003343BA"/>
    <w:rsid w:val="00335B75"/>
    <w:rsid w:val="003409C8"/>
    <w:rsid w:val="003411F0"/>
    <w:rsid w:val="00343A8F"/>
    <w:rsid w:val="00344056"/>
    <w:rsid w:val="00344B19"/>
    <w:rsid w:val="00344EF4"/>
    <w:rsid w:val="003456B0"/>
    <w:rsid w:val="003501FF"/>
    <w:rsid w:val="0035372B"/>
    <w:rsid w:val="00353CAE"/>
    <w:rsid w:val="00355332"/>
    <w:rsid w:val="00355BF7"/>
    <w:rsid w:val="00362849"/>
    <w:rsid w:val="00365609"/>
    <w:rsid w:val="00365E89"/>
    <w:rsid w:val="00366868"/>
    <w:rsid w:val="0037189C"/>
    <w:rsid w:val="00376CEA"/>
    <w:rsid w:val="00385569"/>
    <w:rsid w:val="0038769D"/>
    <w:rsid w:val="00391A95"/>
    <w:rsid w:val="00395FFC"/>
    <w:rsid w:val="003A16A0"/>
    <w:rsid w:val="003A2E98"/>
    <w:rsid w:val="003A350E"/>
    <w:rsid w:val="003A6590"/>
    <w:rsid w:val="003B14E9"/>
    <w:rsid w:val="003B4151"/>
    <w:rsid w:val="003B467C"/>
    <w:rsid w:val="003B5C50"/>
    <w:rsid w:val="003B66CA"/>
    <w:rsid w:val="003B74E7"/>
    <w:rsid w:val="003B786B"/>
    <w:rsid w:val="003C0E44"/>
    <w:rsid w:val="003C28AD"/>
    <w:rsid w:val="003C52CB"/>
    <w:rsid w:val="003C5F03"/>
    <w:rsid w:val="003C6504"/>
    <w:rsid w:val="003D25F0"/>
    <w:rsid w:val="003D574A"/>
    <w:rsid w:val="003E0287"/>
    <w:rsid w:val="003E1903"/>
    <w:rsid w:val="003E22F7"/>
    <w:rsid w:val="003F402C"/>
    <w:rsid w:val="00401777"/>
    <w:rsid w:val="00404F07"/>
    <w:rsid w:val="00411085"/>
    <w:rsid w:val="004114BC"/>
    <w:rsid w:val="004138FD"/>
    <w:rsid w:val="004139C2"/>
    <w:rsid w:val="00414194"/>
    <w:rsid w:val="0041468E"/>
    <w:rsid w:val="00415A32"/>
    <w:rsid w:val="00417DF0"/>
    <w:rsid w:val="004251A1"/>
    <w:rsid w:val="00426B6A"/>
    <w:rsid w:val="0043016A"/>
    <w:rsid w:val="0043085C"/>
    <w:rsid w:val="00433463"/>
    <w:rsid w:val="00433F10"/>
    <w:rsid w:val="00436512"/>
    <w:rsid w:val="00437156"/>
    <w:rsid w:val="00447DF9"/>
    <w:rsid w:val="004554A7"/>
    <w:rsid w:val="00460FD0"/>
    <w:rsid w:val="00462A87"/>
    <w:rsid w:val="00463AF3"/>
    <w:rsid w:val="004642C3"/>
    <w:rsid w:val="0046466E"/>
    <w:rsid w:val="004646E0"/>
    <w:rsid w:val="004651DF"/>
    <w:rsid w:val="0047189F"/>
    <w:rsid w:val="00471B8A"/>
    <w:rsid w:val="00473066"/>
    <w:rsid w:val="00473E33"/>
    <w:rsid w:val="0048260B"/>
    <w:rsid w:val="004832AC"/>
    <w:rsid w:val="00483371"/>
    <w:rsid w:val="00486B4E"/>
    <w:rsid w:val="00486DD1"/>
    <w:rsid w:val="0049096A"/>
    <w:rsid w:val="00493520"/>
    <w:rsid w:val="00493B24"/>
    <w:rsid w:val="00493E4B"/>
    <w:rsid w:val="00494263"/>
    <w:rsid w:val="004A26A6"/>
    <w:rsid w:val="004A3EE4"/>
    <w:rsid w:val="004B277F"/>
    <w:rsid w:val="004B3B1E"/>
    <w:rsid w:val="004B470A"/>
    <w:rsid w:val="004B655A"/>
    <w:rsid w:val="004B68E0"/>
    <w:rsid w:val="004B7DDD"/>
    <w:rsid w:val="004C4B75"/>
    <w:rsid w:val="004C56E7"/>
    <w:rsid w:val="004C5727"/>
    <w:rsid w:val="004D13A2"/>
    <w:rsid w:val="004D1AE5"/>
    <w:rsid w:val="004D207A"/>
    <w:rsid w:val="004D5D23"/>
    <w:rsid w:val="004E167E"/>
    <w:rsid w:val="004E1E81"/>
    <w:rsid w:val="004E24F8"/>
    <w:rsid w:val="004E328B"/>
    <w:rsid w:val="004E44B5"/>
    <w:rsid w:val="004E72D3"/>
    <w:rsid w:val="004E75A4"/>
    <w:rsid w:val="00500B86"/>
    <w:rsid w:val="005064AE"/>
    <w:rsid w:val="005066D6"/>
    <w:rsid w:val="0051151B"/>
    <w:rsid w:val="00514C33"/>
    <w:rsid w:val="0052222B"/>
    <w:rsid w:val="00523874"/>
    <w:rsid w:val="005248DD"/>
    <w:rsid w:val="0052508A"/>
    <w:rsid w:val="00525701"/>
    <w:rsid w:val="00527217"/>
    <w:rsid w:val="00531CD6"/>
    <w:rsid w:val="0053355A"/>
    <w:rsid w:val="00534345"/>
    <w:rsid w:val="00535527"/>
    <w:rsid w:val="00536A18"/>
    <w:rsid w:val="00536C54"/>
    <w:rsid w:val="00537105"/>
    <w:rsid w:val="0054202F"/>
    <w:rsid w:val="00543997"/>
    <w:rsid w:val="005442AD"/>
    <w:rsid w:val="005442CA"/>
    <w:rsid w:val="005462EF"/>
    <w:rsid w:val="005507F9"/>
    <w:rsid w:val="00555E5C"/>
    <w:rsid w:val="00557186"/>
    <w:rsid w:val="00562F8E"/>
    <w:rsid w:val="0056508D"/>
    <w:rsid w:val="005665A7"/>
    <w:rsid w:val="00566AE0"/>
    <w:rsid w:val="005705BD"/>
    <w:rsid w:val="00570CCC"/>
    <w:rsid w:val="00571258"/>
    <w:rsid w:val="00571C2C"/>
    <w:rsid w:val="00572336"/>
    <w:rsid w:val="005736A5"/>
    <w:rsid w:val="00573DBE"/>
    <w:rsid w:val="0057535D"/>
    <w:rsid w:val="005760C6"/>
    <w:rsid w:val="00580428"/>
    <w:rsid w:val="00582D07"/>
    <w:rsid w:val="005832F1"/>
    <w:rsid w:val="00590909"/>
    <w:rsid w:val="00597143"/>
    <w:rsid w:val="005A16C7"/>
    <w:rsid w:val="005A331E"/>
    <w:rsid w:val="005A33C6"/>
    <w:rsid w:val="005B071D"/>
    <w:rsid w:val="005B0854"/>
    <w:rsid w:val="005B1E41"/>
    <w:rsid w:val="005B2691"/>
    <w:rsid w:val="005B2ECE"/>
    <w:rsid w:val="005B573D"/>
    <w:rsid w:val="005C0FC4"/>
    <w:rsid w:val="005C16D2"/>
    <w:rsid w:val="005C1753"/>
    <w:rsid w:val="005C212B"/>
    <w:rsid w:val="005C731C"/>
    <w:rsid w:val="005D1F78"/>
    <w:rsid w:val="005D353E"/>
    <w:rsid w:val="005D47BC"/>
    <w:rsid w:val="005D4FCE"/>
    <w:rsid w:val="005D754D"/>
    <w:rsid w:val="005E02AD"/>
    <w:rsid w:val="005E65EA"/>
    <w:rsid w:val="005F3A73"/>
    <w:rsid w:val="005F3C52"/>
    <w:rsid w:val="005F5B40"/>
    <w:rsid w:val="00601307"/>
    <w:rsid w:val="0060316F"/>
    <w:rsid w:val="00603294"/>
    <w:rsid w:val="00604EF1"/>
    <w:rsid w:val="0061243E"/>
    <w:rsid w:val="0061332B"/>
    <w:rsid w:val="006162E3"/>
    <w:rsid w:val="00622402"/>
    <w:rsid w:val="00630FC2"/>
    <w:rsid w:val="006315F5"/>
    <w:rsid w:val="006330D9"/>
    <w:rsid w:val="00633EC7"/>
    <w:rsid w:val="006359A5"/>
    <w:rsid w:val="00635D39"/>
    <w:rsid w:val="00641B57"/>
    <w:rsid w:val="00643550"/>
    <w:rsid w:val="0064379E"/>
    <w:rsid w:val="00643E3E"/>
    <w:rsid w:val="006458F0"/>
    <w:rsid w:val="00654B20"/>
    <w:rsid w:val="00655D26"/>
    <w:rsid w:val="00655F97"/>
    <w:rsid w:val="00657DA7"/>
    <w:rsid w:val="0066015C"/>
    <w:rsid w:val="00667816"/>
    <w:rsid w:val="006708CE"/>
    <w:rsid w:val="00673801"/>
    <w:rsid w:val="00675A89"/>
    <w:rsid w:val="00676ADA"/>
    <w:rsid w:val="00676F18"/>
    <w:rsid w:val="006819A7"/>
    <w:rsid w:val="006858D8"/>
    <w:rsid w:val="00690F94"/>
    <w:rsid w:val="00691EF3"/>
    <w:rsid w:val="0069358D"/>
    <w:rsid w:val="006951EC"/>
    <w:rsid w:val="006A4E76"/>
    <w:rsid w:val="006A56AC"/>
    <w:rsid w:val="006A6D2F"/>
    <w:rsid w:val="006A762F"/>
    <w:rsid w:val="006A7B15"/>
    <w:rsid w:val="006B1661"/>
    <w:rsid w:val="006B330A"/>
    <w:rsid w:val="006B33D2"/>
    <w:rsid w:val="006B47BA"/>
    <w:rsid w:val="006B649F"/>
    <w:rsid w:val="006C1B67"/>
    <w:rsid w:val="006C2256"/>
    <w:rsid w:val="006C2AFA"/>
    <w:rsid w:val="006C3D5C"/>
    <w:rsid w:val="006D28B5"/>
    <w:rsid w:val="006D3679"/>
    <w:rsid w:val="006D3C0B"/>
    <w:rsid w:val="006D70BA"/>
    <w:rsid w:val="006D7611"/>
    <w:rsid w:val="006D77F3"/>
    <w:rsid w:val="006E4C80"/>
    <w:rsid w:val="006E5B1D"/>
    <w:rsid w:val="006E643D"/>
    <w:rsid w:val="006F00B8"/>
    <w:rsid w:val="006F1DA2"/>
    <w:rsid w:val="007004E4"/>
    <w:rsid w:val="00703E16"/>
    <w:rsid w:val="00707266"/>
    <w:rsid w:val="007110D4"/>
    <w:rsid w:val="007133C1"/>
    <w:rsid w:val="00713A0D"/>
    <w:rsid w:val="0071562E"/>
    <w:rsid w:val="00715A0E"/>
    <w:rsid w:val="00720245"/>
    <w:rsid w:val="00721DC2"/>
    <w:rsid w:val="00726A49"/>
    <w:rsid w:val="00726B2D"/>
    <w:rsid w:val="007316C3"/>
    <w:rsid w:val="0073676A"/>
    <w:rsid w:val="007471EF"/>
    <w:rsid w:val="00747AC2"/>
    <w:rsid w:val="00750212"/>
    <w:rsid w:val="00750494"/>
    <w:rsid w:val="00750851"/>
    <w:rsid w:val="00752DB3"/>
    <w:rsid w:val="00752E26"/>
    <w:rsid w:val="007538EA"/>
    <w:rsid w:val="00755D83"/>
    <w:rsid w:val="00757834"/>
    <w:rsid w:val="00757978"/>
    <w:rsid w:val="00757F5A"/>
    <w:rsid w:val="0076289C"/>
    <w:rsid w:val="007628EF"/>
    <w:rsid w:val="007717C5"/>
    <w:rsid w:val="00771976"/>
    <w:rsid w:val="007761CB"/>
    <w:rsid w:val="00776C7C"/>
    <w:rsid w:val="007779EA"/>
    <w:rsid w:val="00780111"/>
    <w:rsid w:val="00780AF5"/>
    <w:rsid w:val="0079064E"/>
    <w:rsid w:val="00790854"/>
    <w:rsid w:val="007910DD"/>
    <w:rsid w:val="00793EE1"/>
    <w:rsid w:val="00794DBD"/>
    <w:rsid w:val="007A081B"/>
    <w:rsid w:val="007A0B54"/>
    <w:rsid w:val="007A1BC5"/>
    <w:rsid w:val="007A20FD"/>
    <w:rsid w:val="007A3D23"/>
    <w:rsid w:val="007A3DB2"/>
    <w:rsid w:val="007A4337"/>
    <w:rsid w:val="007A57D6"/>
    <w:rsid w:val="007A7F9D"/>
    <w:rsid w:val="007B1192"/>
    <w:rsid w:val="007B14D9"/>
    <w:rsid w:val="007B564C"/>
    <w:rsid w:val="007C0793"/>
    <w:rsid w:val="007C7951"/>
    <w:rsid w:val="007E4E9E"/>
    <w:rsid w:val="007E662B"/>
    <w:rsid w:val="007E6B8B"/>
    <w:rsid w:val="007F3499"/>
    <w:rsid w:val="007F3A2B"/>
    <w:rsid w:val="007F47E2"/>
    <w:rsid w:val="00800969"/>
    <w:rsid w:val="00800FFC"/>
    <w:rsid w:val="0080142B"/>
    <w:rsid w:val="00805F71"/>
    <w:rsid w:val="008070DB"/>
    <w:rsid w:val="00811CEA"/>
    <w:rsid w:val="008163A7"/>
    <w:rsid w:val="00820B0A"/>
    <w:rsid w:val="008231F0"/>
    <w:rsid w:val="008247F9"/>
    <w:rsid w:val="008339BB"/>
    <w:rsid w:val="00833F7C"/>
    <w:rsid w:val="00834B74"/>
    <w:rsid w:val="00837BFE"/>
    <w:rsid w:val="00841505"/>
    <w:rsid w:val="00843A5B"/>
    <w:rsid w:val="008441C5"/>
    <w:rsid w:val="0084486F"/>
    <w:rsid w:val="008452A2"/>
    <w:rsid w:val="0085208E"/>
    <w:rsid w:val="00852CEE"/>
    <w:rsid w:val="00852E92"/>
    <w:rsid w:val="00857D50"/>
    <w:rsid w:val="0086460C"/>
    <w:rsid w:val="0086484D"/>
    <w:rsid w:val="00873BFD"/>
    <w:rsid w:val="00876062"/>
    <w:rsid w:val="008774C1"/>
    <w:rsid w:val="00880327"/>
    <w:rsid w:val="0088389F"/>
    <w:rsid w:val="00885D93"/>
    <w:rsid w:val="008A2F85"/>
    <w:rsid w:val="008A6F6C"/>
    <w:rsid w:val="008B2D5D"/>
    <w:rsid w:val="008B4EBA"/>
    <w:rsid w:val="008B6702"/>
    <w:rsid w:val="008B6B86"/>
    <w:rsid w:val="008C322C"/>
    <w:rsid w:val="008C397E"/>
    <w:rsid w:val="008C4817"/>
    <w:rsid w:val="008C673E"/>
    <w:rsid w:val="008D02C1"/>
    <w:rsid w:val="008D22EE"/>
    <w:rsid w:val="008D5BB4"/>
    <w:rsid w:val="008E002B"/>
    <w:rsid w:val="008E1AF8"/>
    <w:rsid w:val="008F0CCD"/>
    <w:rsid w:val="008F0D1E"/>
    <w:rsid w:val="008F1030"/>
    <w:rsid w:val="008F4A7D"/>
    <w:rsid w:val="008F4AE9"/>
    <w:rsid w:val="008F6172"/>
    <w:rsid w:val="008F7F12"/>
    <w:rsid w:val="00902879"/>
    <w:rsid w:val="0090397D"/>
    <w:rsid w:val="0090691D"/>
    <w:rsid w:val="0091054F"/>
    <w:rsid w:val="009117EA"/>
    <w:rsid w:val="00923320"/>
    <w:rsid w:val="00927289"/>
    <w:rsid w:val="00930407"/>
    <w:rsid w:val="0093390D"/>
    <w:rsid w:val="009356D7"/>
    <w:rsid w:val="0093615D"/>
    <w:rsid w:val="0093681A"/>
    <w:rsid w:val="00940C99"/>
    <w:rsid w:val="0094547F"/>
    <w:rsid w:val="0094579F"/>
    <w:rsid w:val="00945873"/>
    <w:rsid w:val="00945B36"/>
    <w:rsid w:val="00952975"/>
    <w:rsid w:val="00955F93"/>
    <w:rsid w:val="00962AA7"/>
    <w:rsid w:val="009634ED"/>
    <w:rsid w:val="00965FBC"/>
    <w:rsid w:val="00970C0E"/>
    <w:rsid w:val="00974022"/>
    <w:rsid w:val="00976963"/>
    <w:rsid w:val="00976A5C"/>
    <w:rsid w:val="0098396A"/>
    <w:rsid w:val="00990515"/>
    <w:rsid w:val="0099488A"/>
    <w:rsid w:val="009A3CD5"/>
    <w:rsid w:val="009A7894"/>
    <w:rsid w:val="009B3954"/>
    <w:rsid w:val="009B3A7F"/>
    <w:rsid w:val="009B4A85"/>
    <w:rsid w:val="009B64E9"/>
    <w:rsid w:val="009B680E"/>
    <w:rsid w:val="009C4EAD"/>
    <w:rsid w:val="009C7033"/>
    <w:rsid w:val="009E0264"/>
    <w:rsid w:val="009E0906"/>
    <w:rsid w:val="009E1A67"/>
    <w:rsid w:val="009E22E2"/>
    <w:rsid w:val="009E6B87"/>
    <w:rsid w:val="009E6DDE"/>
    <w:rsid w:val="009E7064"/>
    <w:rsid w:val="009E789F"/>
    <w:rsid w:val="009F6CB8"/>
    <w:rsid w:val="00A02580"/>
    <w:rsid w:val="00A02F2C"/>
    <w:rsid w:val="00A039C8"/>
    <w:rsid w:val="00A07DF5"/>
    <w:rsid w:val="00A1047E"/>
    <w:rsid w:val="00A10596"/>
    <w:rsid w:val="00A1193E"/>
    <w:rsid w:val="00A15662"/>
    <w:rsid w:val="00A175FD"/>
    <w:rsid w:val="00A205F7"/>
    <w:rsid w:val="00A2123C"/>
    <w:rsid w:val="00A21E0D"/>
    <w:rsid w:val="00A221F8"/>
    <w:rsid w:val="00A23052"/>
    <w:rsid w:val="00A256DB"/>
    <w:rsid w:val="00A319E1"/>
    <w:rsid w:val="00A41355"/>
    <w:rsid w:val="00A509EE"/>
    <w:rsid w:val="00A530A2"/>
    <w:rsid w:val="00A55FA4"/>
    <w:rsid w:val="00A60231"/>
    <w:rsid w:val="00A60297"/>
    <w:rsid w:val="00A63884"/>
    <w:rsid w:val="00A664C0"/>
    <w:rsid w:val="00A665E3"/>
    <w:rsid w:val="00A67224"/>
    <w:rsid w:val="00A70A3E"/>
    <w:rsid w:val="00A73010"/>
    <w:rsid w:val="00A76A65"/>
    <w:rsid w:val="00A77BB5"/>
    <w:rsid w:val="00A836D4"/>
    <w:rsid w:val="00A85493"/>
    <w:rsid w:val="00A8566D"/>
    <w:rsid w:val="00A94F1E"/>
    <w:rsid w:val="00A96E09"/>
    <w:rsid w:val="00A97FAA"/>
    <w:rsid w:val="00AA7EC6"/>
    <w:rsid w:val="00AB0C1C"/>
    <w:rsid w:val="00AB1449"/>
    <w:rsid w:val="00AB1EC5"/>
    <w:rsid w:val="00AB5952"/>
    <w:rsid w:val="00AB5BB4"/>
    <w:rsid w:val="00AC09C1"/>
    <w:rsid w:val="00AC2607"/>
    <w:rsid w:val="00AC6EDB"/>
    <w:rsid w:val="00AD0F65"/>
    <w:rsid w:val="00AD1A65"/>
    <w:rsid w:val="00AD5197"/>
    <w:rsid w:val="00AE2643"/>
    <w:rsid w:val="00AE4669"/>
    <w:rsid w:val="00AE610C"/>
    <w:rsid w:val="00AE77F7"/>
    <w:rsid w:val="00AF0201"/>
    <w:rsid w:val="00AF048F"/>
    <w:rsid w:val="00AF1160"/>
    <w:rsid w:val="00AF58F9"/>
    <w:rsid w:val="00AF701D"/>
    <w:rsid w:val="00B009FC"/>
    <w:rsid w:val="00B020C7"/>
    <w:rsid w:val="00B02A55"/>
    <w:rsid w:val="00B0686E"/>
    <w:rsid w:val="00B10E36"/>
    <w:rsid w:val="00B123E5"/>
    <w:rsid w:val="00B15249"/>
    <w:rsid w:val="00B2032C"/>
    <w:rsid w:val="00B20C8C"/>
    <w:rsid w:val="00B32EDF"/>
    <w:rsid w:val="00B33863"/>
    <w:rsid w:val="00B40AF5"/>
    <w:rsid w:val="00B41DC9"/>
    <w:rsid w:val="00B43029"/>
    <w:rsid w:val="00B44565"/>
    <w:rsid w:val="00B44FE3"/>
    <w:rsid w:val="00B51CC1"/>
    <w:rsid w:val="00B5508E"/>
    <w:rsid w:val="00B55131"/>
    <w:rsid w:val="00B563DD"/>
    <w:rsid w:val="00B606C5"/>
    <w:rsid w:val="00B61078"/>
    <w:rsid w:val="00B634FF"/>
    <w:rsid w:val="00B67386"/>
    <w:rsid w:val="00B67C56"/>
    <w:rsid w:val="00B70F9E"/>
    <w:rsid w:val="00B71442"/>
    <w:rsid w:val="00B76E7C"/>
    <w:rsid w:val="00B8028B"/>
    <w:rsid w:val="00B81AAF"/>
    <w:rsid w:val="00B8613A"/>
    <w:rsid w:val="00B87429"/>
    <w:rsid w:val="00B87837"/>
    <w:rsid w:val="00B93467"/>
    <w:rsid w:val="00B93C1C"/>
    <w:rsid w:val="00BA1A4C"/>
    <w:rsid w:val="00BA776E"/>
    <w:rsid w:val="00BA7B3D"/>
    <w:rsid w:val="00BA7CA6"/>
    <w:rsid w:val="00BB0BD3"/>
    <w:rsid w:val="00BB297A"/>
    <w:rsid w:val="00BB4169"/>
    <w:rsid w:val="00BB65D4"/>
    <w:rsid w:val="00BB6991"/>
    <w:rsid w:val="00BC3DD9"/>
    <w:rsid w:val="00BC4A1F"/>
    <w:rsid w:val="00BC6D66"/>
    <w:rsid w:val="00BD2C17"/>
    <w:rsid w:val="00BD43CA"/>
    <w:rsid w:val="00BD6835"/>
    <w:rsid w:val="00BD773B"/>
    <w:rsid w:val="00BE28D9"/>
    <w:rsid w:val="00BE33CD"/>
    <w:rsid w:val="00BE5941"/>
    <w:rsid w:val="00BF2708"/>
    <w:rsid w:val="00BF62F0"/>
    <w:rsid w:val="00BF6BFA"/>
    <w:rsid w:val="00C0042D"/>
    <w:rsid w:val="00C03FFC"/>
    <w:rsid w:val="00C05B83"/>
    <w:rsid w:val="00C06A8C"/>
    <w:rsid w:val="00C07C55"/>
    <w:rsid w:val="00C07F98"/>
    <w:rsid w:val="00C100F8"/>
    <w:rsid w:val="00C11CD1"/>
    <w:rsid w:val="00C130A0"/>
    <w:rsid w:val="00C14109"/>
    <w:rsid w:val="00C14AF6"/>
    <w:rsid w:val="00C250B6"/>
    <w:rsid w:val="00C26A4B"/>
    <w:rsid w:val="00C2776A"/>
    <w:rsid w:val="00C30735"/>
    <w:rsid w:val="00C32A0E"/>
    <w:rsid w:val="00C343F5"/>
    <w:rsid w:val="00C36BF3"/>
    <w:rsid w:val="00C3709E"/>
    <w:rsid w:val="00C450A1"/>
    <w:rsid w:val="00C46623"/>
    <w:rsid w:val="00C51731"/>
    <w:rsid w:val="00C52FC7"/>
    <w:rsid w:val="00C5551E"/>
    <w:rsid w:val="00C61EED"/>
    <w:rsid w:val="00C7058D"/>
    <w:rsid w:val="00C746A8"/>
    <w:rsid w:val="00C75FE5"/>
    <w:rsid w:val="00C76A7C"/>
    <w:rsid w:val="00C86AF2"/>
    <w:rsid w:val="00C90E01"/>
    <w:rsid w:val="00C91850"/>
    <w:rsid w:val="00C957F1"/>
    <w:rsid w:val="00CA1B43"/>
    <w:rsid w:val="00CA53DD"/>
    <w:rsid w:val="00CA54C9"/>
    <w:rsid w:val="00CA5654"/>
    <w:rsid w:val="00CA5D29"/>
    <w:rsid w:val="00CA6CDC"/>
    <w:rsid w:val="00CA7EF8"/>
    <w:rsid w:val="00CB1B13"/>
    <w:rsid w:val="00CB74E2"/>
    <w:rsid w:val="00CB76C6"/>
    <w:rsid w:val="00CC0669"/>
    <w:rsid w:val="00CC3AD8"/>
    <w:rsid w:val="00CC46F0"/>
    <w:rsid w:val="00CC518E"/>
    <w:rsid w:val="00CC5E8E"/>
    <w:rsid w:val="00CD067C"/>
    <w:rsid w:val="00CE41D4"/>
    <w:rsid w:val="00CF03D9"/>
    <w:rsid w:val="00CF0BC0"/>
    <w:rsid w:val="00CF1AD1"/>
    <w:rsid w:val="00CF317F"/>
    <w:rsid w:val="00CF39ED"/>
    <w:rsid w:val="00CF555A"/>
    <w:rsid w:val="00D0505B"/>
    <w:rsid w:val="00D12694"/>
    <w:rsid w:val="00D20542"/>
    <w:rsid w:val="00D2227B"/>
    <w:rsid w:val="00D23DDD"/>
    <w:rsid w:val="00D27281"/>
    <w:rsid w:val="00D27321"/>
    <w:rsid w:val="00D27703"/>
    <w:rsid w:val="00D3131C"/>
    <w:rsid w:val="00D32535"/>
    <w:rsid w:val="00D32ED2"/>
    <w:rsid w:val="00D3369B"/>
    <w:rsid w:val="00D338C2"/>
    <w:rsid w:val="00D345BE"/>
    <w:rsid w:val="00D3512F"/>
    <w:rsid w:val="00D35BF7"/>
    <w:rsid w:val="00D40B18"/>
    <w:rsid w:val="00D43539"/>
    <w:rsid w:val="00D46FA3"/>
    <w:rsid w:val="00D51993"/>
    <w:rsid w:val="00D53454"/>
    <w:rsid w:val="00D55CE9"/>
    <w:rsid w:val="00D60DB7"/>
    <w:rsid w:val="00D660E5"/>
    <w:rsid w:val="00D72BB5"/>
    <w:rsid w:val="00D7332F"/>
    <w:rsid w:val="00D7439E"/>
    <w:rsid w:val="00D7463D"/>
    <w:rsid w:val="00D74B44"/>
    <w:rsid w:val="00D80667"/>
    <w:rsid w:val="00D91908"/>
    <w:rsid w:val="00DA1687"/>
    <w:rsid w:val="00DA2C4E"/>
    <w:rsid w:val="00DA58FE"/>
    <w:rsid w:val="00DB1FEA"/>
    <w:rsid w:val="00DB3CBC"/>
    <w:rsid w:val="00DB4557"/>
    <w:rsid w:val="00DB794C"/>
    <w:rsid w:val="00DC0510"/>
    <w:rsid w:val="00DC15D8"/>
    <w:rsid w:val="00DC39EF"/>
    <w:rsid w:val="00DC3F6B"/>
    <w:rsid w:val="00DC5378"/>
    <w:rsid w:val="00DC68B0"/>
    <w:rsid w:val="00DC71C2"/>
    <w:rsid w:val="00DC7867"/>
    <w:rsid w:val="00DD1BF7"/>
    <w:rsid w:val="00DD32DC"/>
    <w:rsid w:val="00DD3347"/>
    <w:rsid w:val="00DD7F8C"/>
    <w:rsid w:val="00DE176B"/>
    <w:rsid w:val="00DE4E20"/>
    <w:rsid w:val="00DE6B37"/>
    <w:rsid w:val="00DF075A"/>
    <w:rsid w:val="00DF2998"/>
    <w:rsid w:val="00DF52A9"/>
    <w:rsid w:val="00DF60F4"/>
    <w:rsid w:val="00E00184"/>
    <w:rsid w:val="00E0286A"/>
    <w:rsid w:val="00E04F44"/>
    <w:rsid w:val="00E05B5C"/>
    <w:rsid w:val="00E1136B"/>
    <w:rsid w:val="00E11E52"/>
    <w:rsid w:val="00E14AF2"/>
    <w:rsid w:val="00E15328"/>
    <w:rsid w:val="00E153A9"/>
    <w:rsid w:val="00E17F25"/>
    <w:rsid w:val="00E2144B"/>
    <w:rsid w:val="00E2380E"/>
    <w:rsid w:val="00E256A7"/>
    <w:rsid w:val="00E30982"/>
    <w:rsid w:val="00E31A99"/>
    <w:rsid w:val="00E46451"/>
    <w:rsid w:val="00E538FD"/>
    <w:rsid w:val="00E5655A"/>
    <w:rsid w:val="00E57BBB"/>
    <w:rsid w:val="00E65470"/>
    <w:rsid w:val="00E71657"/>
    <w:rsid w:val="00E71814"/>
    <w:rsid w:val="00E7237C"/>
    <w:rsid w:val="00E725CD"/>
    <w:rsid w:val="00E746C4"/>
    <w:rsid w:val="00E74891"/>
    <w:rsid w:val="00E74EC4"/>
    <w:rsid w:val="00E760E5"/>
    <w:rsid w:val="00E80231"/>
    <w:rsid w:val="00E8669B"/>
    <w:rsid w:val="00E92C81"/>
    <w:rsid w:val="00E954CD"/>
    <w:rsid w:val="00E95C5D"/>
    <w:rsid w:val="00EA3006"/>
    <w:rsid w:val="00EA5034"/>
    <w:rsid w:val="00EA6955"/>
    <w:rsid w:val="00EA7143"/>
    <w:rsid w:val="00EB2BE7"/>
    <w:rsid w:val="00EB7E01"/>
    <w:rsid w:val="00EC4384"/>
    <w:rsid w:val="00EC52D7"/>
    <w:rsid w:val="00EC5913"/>
    <w:rsid w:val="00ED072E"/>
    <w:rsid w:val="00ED11E2"/>
    <w:rsid w:val="00ED5C7A"/>
    <w:rsid w:val="00EE3354"/>
    <w:rsid w:val="00EE3409"/>
    <w:rsid w:val="00EE4374"/>
    <w:rsid w:val="00EE5F91"/>
    <w:rsid w:val="00EF33ED"/>
    <w:rsid w:val="00EF4509"/>
    <w:rsid w:val="00EF4D00"/>
    <w:rsid w:val="00EF583B"/>
    <w:rsid w:val="00EF7C8F"/>
    <w:rsid w:val="00F02B6D"/>
    <w:rsid w:val="00F04856"/>
    <w:rsid w:val="00F10CBE"/>
    <w:rsid w:val="00F1102A"/>
    <w:rsid w:val="00F14401"/>
    <w:rsid w:val="00F2385A"/>
    <w:rsid w:val="00F25354"/>
    <w:rsid w:val="00F3161B"/>
    <w:rsid w:val="00F35F38"/>
    <w:rsid w:val="00F35FD8"/>
    <w:rsid w:val="00F36FE7"/>
    <w:rsid w:val="00F3727D"/>
    <w:rsid w:val="00F403DD"/>
    <w:rsid w:val="00F470F5"/>
    <w:rsid w:val="00F476E1"/>
    <w:rsid w:val="00F5116F"/>
    <w:rsid w:val="00F53042"/>
    <w:rsid w:val="00F53315"/>
    <w:rsid w:val="00F55A6C"/>
    <w:rsid w:val="00F55BFF"/>
    <w:rsid w:val="00F56A9F"/>
    <w:rsid w:val="00F61174"/>
    <w:rsid w:val="00F64246"/>
    <w:rsid w:val="00F649F0"/>
    <w:rsid w:val="00F75D4E"/>
    <w:rsid w:val="00F808E9"/>
    <w:rsid w:val="00F84AA3"/>
    <w:rsid w:val="00F85B96"/>
    <w:rsid w:val="00F8686A"/>
    <w:rsid w:val="00F9432E"/>
    <w:rsid w:val="00F97753"/>
    <w:rsid w:val="00FA13BC"/>
    <w:rsid w:val="00FA16E9"/>
    <w:rsid w:val="00FC39D6"/>
    <w:rsid w:val="00FC7FEA"/>
    <w:rsid w:val="00FD1218"/>
    <w:rsid w:val="00FD5282"/>
    <w:rsid w:val="00FD5D2D"/>
    <w:rsid w:val="00FE0026"/>
    <w:rsid w:val="00FE016B"/>
    <w:rsid w:val="00FE3B3E"/>
    <w:rsid w:val="00FE3C8B"/>
    <w:rsid w:val="00FE40F7"/>
    <w:rsid w:val="00FE6833"/>
    <w:rsid w:val="00FE6D42"/>
    <w:rsid w:val="00FE7F54"/>
    <w:rsid w:val="00FF091F"/>
    <w:rsid w:val="00FF2745"/>
    <w:rsid w:val="00FF2F52"/>
    <w:rsid w:val="00FF54D1"/>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73"/>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F3A73"/>
    <w:pPr>
      <w:tabs>
        <w:tab w:val="center" w:pos="4677"/>
        <w:tab w:val="right" w:pos="9355"/>
      </w:tabs>
    </w:pPr>
  </w:style>
  <w:style w:type="character" w:customStyle="1" w:styleId="FooterChar">
    <w:name w:val="Footer Char"/>
    <w:basedOn w:val="DefaultParagraphFont"/>
    <w:link w:val="Footer"/>
    <w:uiPriority w:val="99"/>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customStyle="1" w:styleId="cf01">
    <w:name w:val="cf01"/>
    <w:basedOn w:val="DefaultParagraphFont"/>
    <w:rsid w:val="00CA7EF8"/>
    <w:rPr>
      <w:rFonts w:ascii="Segoe UI" w:hAnsi="Segoe UI" w:cs="Segoe UI" w:hint="default"/>
      <w:sz w:val="18"/>
      <w:szCs w:val="18"/>
    </w:rPr>
  </w:style>
  <w:style w:type="character" w:customStyle="1" w:styleId="no-parag">
    <w:name w:val="no-parag"/>
    <w:basedOn w:val="DefaultParagraphFont"/>
    <w:rsid w:val="006A6D2F"/>
  </w:style>
  <w:style w:type="character" w:styleId="UnresolvedMention">
    <w:name w:val="Unresolved Mention"/>
    <w:basedOn w:val="DefaultParagraphFont"/>
    <w:uiPriority w:val="99"/>
    <w:semiHidden/>
    <w:unhideWhenUsed/>
    <w:rsid w:val="00CF1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975">
      <w:bodyDiv w:val="1"/>
      <w:marLeft w:val="0"/>
      <w:marRight w:val="0"/>
      <w:marTop w:val="0"/>
      <w:marBottom w:val="0"/>
      <w:divBdr>
        <w:top w:val="none" w:sz="0" w:space="0" w:color="auto"/>
        <w:left w:val="none" w:sz="0" w:space="0" w:color="auto"/>
        <w:bottom w:val="none" w:sz="0" w:space="0" w:color="auto"/>
        <w:right w:val="none" w:sz="0" w:space="0" w:color="auto"/>
      </w:divBdr>
      <w:divsChild>
        <w:div w:id="336617216">
          <w:marLeft w:val="0"/>
          <w:marRight w:val="0"/>
          <w:marTop w:val="0"/>
          <w:marBottom w:val="0"/>
          <w:divBdr>
            <w:top w:val="none" w:sz="0" w:space="0" w:color="auto"/>
            <w:left w:val="none" w:sz="0" w:space="0" w:color="auto"/>
            <w:bottom w:val="none" w:sz="0" w:space="0" w:color="auto"/>
            <w:right w:val="none" w:sz="0" w:space="0" w:color="auto"/>
          </w:divBdr>
        </w:div>
        <w:div w:id="292370765">
          <w:marLeft w:val="0"/>
          <w:marRight w:val="0"/>
          <w:marTop w:val="0"/>
          <w:marBottom w:val="0"/>
          <w:divBdr>
            <w:top w:val="none" w:sz="0" w:space="0" w:color="auto"/>
            <w:left w:val="none" w:sz="0" w:space="0" w:color="auto"/>
            <w:bottom w:val="none" w:sz="0" w:space="0" w:color="auto"/>
            <w:right w:val="none" w:sz="0" w:space="0" w:color="auto"/>
          </w:divBdr>
          <w:divsChild>
            <w:div w:id="849950507">
              <w:marLeft w:val="0"/>
              <w:marRight w:val="0"/>
              <w:marTop w:val="0"/>
              <w:marBottom w:val="0"/>
              <w:divBdr>
                <w:top w:val="none" w:sz="0" w:space="0" w:color="auto"/>
                <w:left w:val="none" w:sz="0" w:space="0" w:color="auto"/>
                <w:bottom w:val="none" w:sz="0" w:space="0" w:color="auto"/>
                <w:right w:val="none" w:sz="0" w:space="0" w:color="auto"/>
              </w:divBdr>
            </w:div>
          </w:divsChild>
        </w:div>
        <w:div w:id="1070151098">
          <w:marLeft w:val="0"/>
          <w:marRight w:val="0"/>
          <w:marTop w:val="0"/>
          <w:marBottom w:val="0"/>
          <w:divBdr>
            <w:top w:val="none" w:sz="0" w:space="0" w:color="auto"/>
            <w:left w:val="none" w:sz="0" w:space="0" w:color="auto"/>
            <w:bottom w:val="none" w:sz="0" w:space="0" w:color="auto"/>
            <w:right w:val="none" w:sz="0" w:space="0" w:color="auto"/>
          </w:divBdr>
          <w:divsChild>
            <w:div w:id="1306621321">
              <w:marLeft w:val="0"/>
              <w:marRight w:val="0"/>
              <w:marTop w:val="0"/>
              <w:marBottom w:val="0"/>
              <w:divBdr>
                <w:top w:val="none" w:sz="0" w:space="0" w:color="auto"/>
                <w:left w:val="none" w:sz="0" w:space="0" w:color="auto"/>
                <w:bottom w:val="none" w:sz="0" w:space="0" w:color="auto"/>
                <w:right w:val="none" w:sz="0" w:space="0" w:color="auto"/>
              </w:divBdr>
            </w:div>
          </w:divsChild>
        </w:div>
        <w:div w:id="1130170721">
          <w:marLeft w:val="0"/>
          <w:marRight w:val="0"/>
          <w:marTop w:val="0"/>
          <w:marBottom w:val="0"/>
          <w:divBdr>
            <w:top w:val="none" w:sz="0" w:space="0" w:color="auto"/>
            <w:left w:val="none" w:sz="0" w:space="0" w:color="auto"/>
            <w:bottom w:val="none" w:sz="0" w:space="0" w:color="auto"/>
            <w:right w:val="none" w:sz="0" w:space="0" w:color="auto"/>
          </w:divBdr>
          <w:divsChild>
            <w:div w:id="825633233">
              <w:marLeft w:val="0"/>
              <w:marRight w:val="0"/>
              <w:marTop w:val="0"/>
              <w:marBottom w:val="0"/>
              <w:divBdr>
                <w:top w:val="none" w:sz="0" w:space="0" w:color="auto"/>
                <w:left w:val="none" w:sz="0" w:space="0" w:color="auto"/>
                <w:bottom w:val="none" w:sz="0" w:space="0" w:color="auto"/>
                <w:right w:val="none" w:sz="0" w:space="0" w:color="auto"/>
              </w:divBdr>
            </w:div>
          </w:divsChild>
        </w:div>
        <w:div w:id="1656449154">
          <w:marLeft w:val="0"/>
          <w:marRight w:val="0"/>
          <w:marTop w:val="0"/>
          <w:marBottom w:val="0"/>
          <w:divBdr>
            <w:top w:val="none" w:sz="0" w:space="0" w:color="auto"/>
            <w:left w:val="none" w:sz="0" w:space="0" w:color="auto"/>
            <w:bottom w:val="none" w:sz="0" w:space="0" w:color="auto"/>
            <w:right w:val="none" w:sz="0" w:space="0" w:color="auto"/>
          </w:divBdr>
          <w:divsChild>
            <w:div w:id="1545867448">
              <w:marLeft w:val="0"/>
              <w:marRight w:val="0"/>
              <w:marTop w:val="0"/>
              <w:marBottom w:val="0"/>
              <w:divBdr>
                <w:top w:val="none" w:sz="0" w:space="0" w:color="auto"/>
                <w:left w:val="none" w:sz="0" w:space="0" w:color="auto"/>
                <w:bottom w:val="none" w:sz="0" w:space="0" w:color="auto"/>
                <w:right w:val="none" w:sz="0" w:space="0" w:color="auto"/>
              </w:divBdr>
            </w:div>
          </w:divsChild>
        </w:div>
        <w:div w:id="95448192">
          <w:marLeft w:val="0"/>
          <w:marRight w:val="0"/>
          <w:marTop w:val="0"/>
          <w:marBottom w:val="0"/>
          <w:divBdr>
            <w:top w:val="none" w:sz="0" w:space="0" w:color="auto"/>
            <w:left w:val="none" w:sz="0" w:space="0" w:color="auto"/>
            <w:bottom w:val="none" w:sz="0" w:space="0" w:color="auto"/>
            <w:right w:val="none" w:sz="0" w:space="0" w:color="auto"/>
          </w:divBdr>
          <w:divsChild>
            <w:div w:id="1910577310">
              <w:marLeft w:val="0"/>
              <w:marRight w:val="0"/>
              <w:marTop w:val="0"/>
              <w:marBottom w:val="0"/>
              <w:divBdr>
                <w:top w:val="none" w:sz="0" w:space="0" w:color="auto"/>
                <w:left w:val="none" w:sz="0" w:space="0" w:color="auto"/>
                <w:bottom w:val="none" w:sz="0" w:space="0" w:color="auto"/>
                <w:right w:val="none" w:sz="0" w:space="0" w:color="auto"/>
              </w:divBdr>
            </w:div>
          </w:divsChild>
        </w:div>
        <w:div w:id="1002319411">
          <w:marLeft w:val="0"/>
          <w:marRight w:val="0"/>
          <w:marTop w:val="0"/>
          <w:marBottom w:val="0"/>
          <w:divBdr>
            <w:top w:val="none" w:sz="0" w:space="0" w:color="auto"/>
            <w:left w:val="none" w:sz="0" w:space="0" w:color="auto"/>
            <w:bottom w:val="none" w:sz="0" w:space="0" w:color="auto"/>
            <w:right w:val="none" w:sz="0" w:space="0" w:color="auto"/>
          </w:divBdr>
          <w:divsChild>
            <w:div w:id="2014797078">
              <w:marLeft w:val="0"/>
              <w:marRight w:val="0"/>
              <w:marTop w:val="0"/>
              <w:marBottom w:val="0"/>
              <w:divBdr>
                <w:top w:val="none" w:sz="0" w:space="0" w:color="auto"/>
                <w:left w:val="none" w:sz="0" w:space="0" w:color="auto"/>
                <w:bottom w:val="none" w:sz="0" w:space="0" w:color="auto"/>
                <w:right w:val="none" w:sz="0" w:space="0" w:color="auto"/>
              </w:divBdr>
              <w:divsChild>
                <w:div w:id="1038972432">
                  <w:marLeft w:val="0"/>
                  <w:marRight w:val="0"/>
                  <w:marTop w:val="0"/>
                  <w:marBottom w:val="0"/>
                  <w:divBdr>
                    <w:top w:val="none" w:sz="0" w:space="0" w:color="auto"/>
                    <w:left w:val="none" w:sz="0" w:space="0" w:color="auto"/>
                    <w:bottom w:val="none" w:sz="0" w:space="0" w:color="auto"/>
                    <w:right w:val="none" w:sz="0" w:space="0" w:color="auto"/>
                  </w:divBdr>
                  <w:divsChild>
                    <w:div w:id="312148858">
                      <w:marLeft w:val="0"/>
                      <w:marRight w:val="0"/>
                      <w:marTop w:val="120"/>
                      <w:marBottom w:val="0"/>
                      <w:divBdr>
                        <w:top w:val="none" w:sz="0" w:space="0" w:color="auto"/>
                        <w:left w:val="none" w:sz="0" w:space="0" w:color="auto"/>
                        <w:bottom w:val="none" w:sz="0" w:space="0" w:color="auto"/>
                        <w:right w:val="none" w:sz="0" w:space="0" w:color="auto"/>
                      </w:divBdr>
                    </w:div>
                    <w:div w:id="1545829440">
                      <w:marLeft w:val="0"/>
                      <w:marRight w:val="0"/>
                      <w:marTop w:val="0"/>
                      <w:marBottom w:val="0"/>
                      <w:divBdr>
                        <w:top w:val="none" w:sz="0" w:space="0" w:color="auto"/>
                        <w:left w:val="none" w:sz="0" w:space="0" w:color="auto"/>
                        <w:bottom w:val="none" w:sz="0" w:space="0" w:color="auto"/>
                        <w:right w:val="none" w:sz="0" w:space="0" w:color="auto"/>
                      </w:divBdr>
                    </w:div>
                  </w:divsChild>
                </w:div>
                <w:div w:id="292756815">
                  <w:marLeft w:val="0"/>
                  <w:marRight w:val="0"/>
                  <w:marTop w:val="0"/>
                  <w:marBottom w:val="0"/>
                  <w:divBdr>
                    <w:top w:val="none" w:sz="0" w:space="0" w:color="auto"/>
                    <w:left w:val="none" w:sz="0" w:space="0" w:color="auto"/>
                    <w:bottom w:val="none" w:sz="0" w:space="0" w:color="auto"/>
                    <w:right w:val="none" w:sz="0" w:space="0" w:color="auto"/>
                  </w:divBdr>
                  <w:divsChild>
                    <w:div w:id="1988975465">
                      <w:marLeft w:val="0"/>
                      <w:marRight w:val="0"/>
                      <w:marTop w:val="120"/>
                      <w:marBottom w:val="0"/>
                      <w:divBdr>
                        <w:top w:val="none" w:sz="0" w:space="0" w:color="auto"/>
                        <w:left w:val="none" w:sz="0" w:space="0" w:color="auto"/>
                        <w:bottom w:val="none" w:sz="0" w:space="0" w:color="auto"/>
                        <w:right w:val="none" w:sz="0" w:space="0" w:color="auto"/>
                      </w:divBdr>
                    </w:div>
                    <w:div w:id="1954088787">
                      <w:marLeft w:val="0"/>
                      <w:marRight w:val="0"/>
                      <w:marTop w:val="0"/>
                      <w:marBottom w:val="0"/>
                      <w:divBdr>
                        <w:top w:val="none" w:sz="0" w:space="0" w:color="auto"/>
                        <w:left w:val="none" w:sz="0" w:space="0" w:color="auto"/>
                        <w:bottom w:val="none" w:sz="0" w:space="0" w:color="auto"/>
                        <w:right w:val="none" w:sz="0" w:space="0" w:color="auto"/>
                      </w:divBdr>
                    </w:div>
                  </w:divsChild>
                </w:div>
                <w:div w:id="107437266">
                  <w:marLeft w:val="0"/>
                  <w:marRight w:val="0"/>
                  <w:marTop w:val="0"/>
                  <w:marBottom w:val="0"/>
                  <w:divBdr>
                    <w:top w:val="none" w:sz="0" w:space="0" w:color="auto"/>
                    <w:left w:val="none" w:sz="0" w:space="0" w:color="auto"/>
                    <w:bottom w:val="none" w:sz="0" w:space="0" w:color="auto"/>
                    <w:right w:val="none" w:sz="0" w:space="0" w:color="auto"/>
                  </w:divBdr>
                  <w:divsChild>
                    <w:div w:id="2061128783">
                      <w:marLeft w:val="0"/>
                      <w:marRight w:val="0"/>
                      <w:marTop w:val="120"/>
                      <w:marBottom w:val="0"/>
                      <w:divBdr>
                        <w:top w:val="none" w:sz="0" w:space="0" w:color="auto"/>
                        <w:left w:val="none" w:sz="0" w:space="0" w:color="auto"/>
                        <w:bottom w:val="none" w:sz="0" w:space="0" w:color="auto"/>
                        <w:right w:val="none" w:sz="0" w:space="0" w:color="auto"/>
                      </w:divBdr>
                    </w:div>
                    <w:div w:id="18369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2927">
          <w:marLeft w:val="0"/>
          <w:marRight w:val="0"/>
          <w:marTop w:val="0"/>
          <w:marBottom w:val="0"/>
          <w:divBdr>
            <w:top w:val="none" w:sz="0" w:space="0" w:color="auto"/>
            <w:left w:val="none" w:sz="0" w:space="0" w:color="auto"/>
            <w:bottom w:val="none" w:sz="0" w:space="0" w:color="auto"/>
            <w:right w:val="none" w:sz="0" w:space="0" w:color="auto"/>
          </w:divBdr>
          <w:divsChild>
            <w:div w:id="1854606961">
              <w:marLeft w:val="0"/>
              <w:marRight w:val="0"/>
              <w:marTop w:val="0"/>
              <w:marBottom w:val="0"/>
              <w:divBdr>
                <w:top w:val="none" w:sz="0" w:space="0" w:color="auto"/>
                <w:left w:val="none" w:sz="0" w:space="0" w:color="auto"/>
                <w:bottom w:val="none" w:sz="0" w:space="0" w:color="auto"/>
                <w:right w:val="none" w:sz="0" w:space="0" w:color="auto"/>
              </w:divBdr>
            </w:div>
          </w:divsChild>
        </w:div>
        <w:div w:id="1264192806">
          <w:marLeft w:val="0"/>
          <w:marRight w:val="0"/>
          <w:marTop w:val="0"/>
          <w:marBottom w:val="0"/>
          <w:divBdr>
            <w:top w:val="none" w:sz="0" w:space="0" w:color="auto"/>
            <w:left w:val="none" w:sz="0" w:space="0" w:color="auto"/>
            <w:bottom w:val="none" w:sz="0" w:space="0" w:color="auto"/>
            <w:right w:val="none" w:sz="0" w:space="0" w:color="auto"/>
          </w:divBdr>
          <w:divsChild>
            <w:div w:id="1292638785">
              <w:marLeft w:val="0"/>
              <w:marRight w:val="0"/>
              <w:marTop w:val="0"/>
              <w:marBottom w:val="0"/>
              <w:divBdr>
                <w:top w:val="none" w:sz="0" w:space="0" w:color="auto"/>
                <w:left w:val="none" w:sz="0" w:space="0" w:color="auto"/>
                <w:bottom w:val="none" w:sz="0" w:space="0" w:color="auto"/>
                <w:right w:val="none" w:sz="0" w:space="0" w:color="auto"/>
              </w:divBdr>
            </w:div>
          </w:divsChild>
        </w:div>
        <w:div w:id="540485004">
          <w:marLeft w:val="0"/>
          <w:marRight w:val="0"/>
          <w:marTop w:val="0"/>
          <w:marBottom w:val="0"/>
          <w:divBdr>
            <w:top w:val="none" w:sz="0" w:space="0" w:color="auto"/>
            <w:left w:val="none" w:sz="0" w:space="0" w:color="auto"/>
            <w:bottom w:val="none" w:sz="0" w:space="0" w:color="auto"/>
            <w:right w:val="none" w:sz="0" w:space="0" w:color="auto"/>
          </w:divBdr>
          <w:divsChild>
            <w:div w:id="27462471">
              <w:marLeft w:val="0"/>
              <w:marRight w:val="0"/>
              <w:marTop w:val="0"/>
              <w:marBottom w:val="0"/>
              <w:divBdr>
                <w:top w:val="none" w:sz="0" w:space="0" w:color="auto"/>
                <w:left w:val="none" w:sz="0" w:space="0" w:color="auto"/>
                <w:bottom w:val="none" w:sz="0" w:space="0" w:color="auto"/>
                <w:right w:val="none" w:sz="0" w:space="0" w:color="auto"/>
              </w:divBdr>
            </w:div>
          </w:divsChild>
        </w:div>
        <w:div w:id="153109388">
          <w:marLeft w:val="0"/>
          <w:marRight w:val="0"/>
          <w:marTop w:val="0"/>
          <w:marBottom w:val="0"/>
          <w:divBdr>
            <w:top w:val="none" w:sz="0" w:space="0" w:color="auto"/>
            <w:left w:val="none" w:sz="0" w:space="0" w:color="auto"/>
            <w:bottom w:val="none" w:sz="0" w:space="0" w:color="auto"/>
            <w:right w:val="none" w:sz="0" w:space="0" w:color="auto"/>
          </w:divBdr>
          <w:divsChild>
            <w:div w:id="18318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4141">
      <w:bodyDiv w:val="1"/>
      <w:marLeft w:val="0"/>
      <w:marRight w:val="0"/>
      <w:marTop w:val="0"/>
      <w:marBottom w:val="0"/>
      <w:divBdr>
        <w:top w:val="none" w:sz="0" w:space="0" w:color="auto"/>
        <w:left w:val="none" w:sz="0" w:space="0" w:color="auto"/>
        <w:bottom w:val="none" w:sz="0" w:space="0" w:color="auto"/>
        <w:right w:val="none" w:sz="0" w:space="0" w:color="auto"/>
      </w:divBdr>
      <w:divsChild>
        <w:div w:id="846864564">
          <w:marLeft w:val="0"/>
          <w:marRight w:val="0"/>
          <w:marTop w:val="0"/>
          <w:marBottom w:val="0"/>
          <w:divBdr>
            <w:top w:val="none" w:sz="0" w:space="0" w:color="auto"/>
            <w:left w:val="none" w:sz="0" w:space="0" w:color="auto"/>
            <w:bottom w:val="none" w:sz="0" w:space="0" w:color="auto"/>
            <w:right w:val="none" w:sz="0" w:space="0" w:color="auto"/>
          </w:divBdr>
        </w:div>
        <w:div w:id="821312364">
          <w:marLeft w:val="0"/>
          <w:marRight w:val="0"/>
          <w:marTop w:val="0"/>
          <w:marBottom w:val="0"/>
          <w:divBdr>
            <w:top w:val="none" w:sz="0" w:space="0" w:color="auto"/>
            <w:left w:val="none" w:sz="0" w:space="0" w:color="auto"/>
            <w:bottom w:val="none" w:sz="0" w:space="0" w:color="auto"/>
            <w:right w:val="none" w:sz="0" w:space="0" w:color="auto"/>
          </w:divBdr>
          <w:divsChild>
            <w:div w:id="842555033">
              <w:marLeft w:val="0"/>
              <w:marRight w:val="0"/>
              <w:marTop w:val="0"/>
              <w:marBottom w:val="0"/>
              <w:divBdr>
                <w:top w:val="none" w:sz="0" w:space="0" w:color="auto"/>
                <w:left w:val="none" w:sz="0" w:space="0" w:color="auto"/>
                <w:bottom w:val="none" w:sz="0" w:space="0" w:color="auto"/>
                <w:right w:val="none" w:sz="0" w:space="0" w:color="auto"/>
              </w:divBdr>
            </w:div>
          </w:divsChild>
        </w:div>
        <w:div w:id="1095589316">
          <w:marLeft w:val="0"/>
          <w:marRight w:val="0"/>
          <w:marTop w:val="0"/>
          <w:marBottom w:val="0"/>
          <w:divBdr>
            <w:top w:val="none" w:sz="0" w:space="0" w:color="auto"/>
            <w:left w:val="none" w:sz="0" w:space="0" w:color="auto"/>
            <w:bottom w:val="none" w:sz="0" w:space="0" w:color="auto"/>
            <w:right w:val="none" w:sz="0" w:space="0" w:color="auto"/>
          </w:divBdr>
          <w:divsChild>
            <w:div w:id="1246837702">
              <w:marLeft w:val="0"/>
              <w:marRight w:val="0"/>
              <w:marTop w:val="0"/>
              <w:marBottom w:val="0"/>
              <w:divBdr>
                <w:top w:val="none" w:sz="0" w:space="0" w:color="auto"/>
                <w:left w:val="none" w:sz="0" w:space="0" w:color="auto"/>
                <w:bottom w:val="none" w:sz="0" w:space="0" w:color="auto"/>
                <w:right w:val="none" w:sz="0" w:space="0" w:color="auto"/>
              </w:divBdr>
            </w:div>
          </w:divsChild>
        </w:div>
        <w:div w:id="911160538">
          <w:marLeft w:val="0"/>
          <w:marRight w:val="0"/>
          <w:marTop w:val="0"/>
          <w:marBottom w:val="0"/>
          <w:divBdr>
            <w:top w:val="none" w:sz="0" w:space="0" w:color="auto"/>
            <w:left w:val="none" w:sz="0" w:space="0" w:color="auto"/>
            <w:bottom w:val="none" w:sz="0" w:space="0" w:color="auto"/>
            <w:right w:val="none" w:sz="0" w:space="0" w:color="auto"/>
          </w:divBdr>
          <w:divsChild>
            <w:div w:id="1405183695">
              <w:marLeft w:val="0"/>
              <w:marRight w:val="0"/>
              <w:marTop w:val="0"/>
              <w:marBottom w:val="0"/>
              <w:divBdr>
                <w:top w:val="none" w:sz="0" w:space="0" w:color="auto"/>
                <w:left w:val="none" w:sz="0" w:space="0" w:color="auto"/>
                <w:bottom w:val="none" w:sz="0" w:space="0" w:color="auto"/>
                <w:right w:val="none" w:sz="0" w:space="0" w:color="auto"/>
              </w:divBdr>
            </w:div>
          </w:divsChild>
        </w:div>
        <w:div w:id="798692904">
          <w:marLeft w:val="0"/>
          <w:marRight w:val="0"/>
          <w:marTop w:val="0"/>
          <w:marBottom w:val="0"/>
          <w:divBdr>
            <w:top w:val="none" w:sz="0" w:space="0" w:color="auto"/>
            <w:left w:val="none" w:sz="0" w:space="0" w:color="auto"/>
            <w:bottom w:val="none" w:sz="0" w:space="0" w:color="auto"/>
            <w:right w:val="none" w:sz="0" w:space="0" w:color="auto"/>
          </w:divBdr>
          <w:divsChild>
            <w:div w:id="525560330">
              <w:marLeft w:val="0"/>
              <w:marRight w:val="0"/>
              <w:marTop w:val="0"/>
              <w:marBottom w:val="0"/>
              <w:divBdr>
                <w:top w:val="none" w:sz="0" w:space="0" w:color="auto"/>
                <w:left w:val="none" w:sz="0" w:space="0" w:color="auto"/>
                <w:bottom w:val="none" w:sz="0" w:space="0" w:color="auto"/>
                <w:right w:val="none" w:sz="0" w:space="0" w:color="auto"/>
              </w:divBdr>
            </w:div>
          </w:divsChild>
        </w:div>
        <w:div w:id="654066831">
          <w:marLeft w:val="0"/>
          <w:marRight w:val="0"/>
          <w:marTop w:val="0"/>
          <w:marBottom w:val="0"/>
          <w:divBdr>
            <w:top w:val="none" w:sz="0" w:space="0" w:color="auto"/>
            <w:left w:val="none" w:sz="0" w:space="0" w:color="auto"/>
            <w:bottom w:val="none" w:sz="0" w:space="0" w:color="auto"/>
            <w:right w:val="none" w:sz="0" w:space="0" w:color="auto"/>
          </w:divBdr>
          <w:divsChild>
            <w:div w:id="286937685">
              <w:marLeft w:val="0"/>
              <w:marRight w:val="0"/>
              <w:marTop w:val="0"/>
              <w:marBottom w:val="0"/>
              <w:divBdr>
                <w:top w:val="none" w:sz="0" w:space="0" w:color="auto"/>
                <w:left w:val="none" w:sz="0" w:space="0" w:color="auto"/>
                <w:bottom w:val="none" w:sz="0" w:space="0" w:color="auto"/>
                <w:right w:val="none" w:sz="0" w:space="0" w:color="auto"/>
              </w:divBdr>
            </w:div>
          </w:divsChild>
        </w:div>
        <w:div w:id="1100296045">
          <w:marLeft w:val="0"/>
          <w:marRight w:val="0"/>
          <w:marTop w:val="0"/>
          <w:marBottom w:val="0"/>
          <w:divBdr>
            <w:top w:val="none" w:sz="0" w:space="0" w:color="auto"/>
            <w:left w:val="none" w:sz="0" w:space="0" w:color="auto"/>
            <w:bottom w:val="none" w:sz="0" w:space="0" w:color="auto"/>
            <w:right w:val="none" w:sz="0" w:space="0" w:color="auto"/>
          </w:divBdr>
          <w:divsChild>
            <w:div w:id="7639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8065">
      <w:bodyDiv w:val="1"/>
      <w:marLeft w:val="0"/>
      <w:marRight w:val="0"/>
      <w:marTop w:val="0"/>
      <w:marBottom w:val="0"/>
      <w:divBdr>
        <w:top w:val="none" w:sz="0" w:space="0" w:color="auto"/>
        <w:left w:val="none" w:sz="0" w:space="0" w:color="auto"/>
        <w:bottom w:val="none" w:sz="0" w:space="0" w:color="auto"/>
        <w:right w:val="none" w:sz="0" w:space="0" w:color="auto"/>
      </w:divBdr>
      <w:divsChild>
        <w:div w:id="2128505736">
          <w:marLeft w:val="0"/>
          <w:marRight w:val="0"/>
          <w:marTop w:val="0"/>
          <w:marBottom w:val="0"/>
          <w:divBdr>
            <w:top w:val="none" w:sz="0" w:space="0" w:color="auto"/>
            <w:left w:val="none" w:sz="0" w:space="0" w:color="auto"/>
            <w:bottom w:val="none" w:sz="0" w:space="0" w:color="auto"/>
            <w:right w:val="none" w:sz="0" w:space="0" w:color="auto"/>
          </w:divBdr>
        </w:div>
        <w:div w:id="340860930">
          <w:marLeft w:val="0"/>
          <w:marRight w:val="0"/>
          <w:marTop w:val="0"/>
          <w:marBottom w:val="0"/>
          <w:divBdr>
            <w:top w:val="none" w:sz="0" w:space="0" w:color="auto"/>
            <w:left w:val="none" w:sz="0" w:space="0" w:color="auto"/>
            <w:bottom w:val="none" w:sz="0" w:space="0" w:color="auto"/>
            <w:right w:val="none" w:sz="0" w:space="0" w:color="auto"/>
          </w:divBdr>
          <w:divsChild>
            <w:div w:id="1582905925">
              <w:marLeft w:val="0"/>
              <w:marRight w:val="0"/>
              <w:marTop w:val="0"/>
              <w:marBottom w:val="0"/>
              <w:divBdr>
                <w:top w:val="none" w:sz="0" w:space="0" w:color="auto"/>
                <w:left w:val="none" w:sz="0" w:space="0" w:color="auto"/>
                <w:bottom w:val="none" w:sz="0" w:space="0" w:color="auto"/>
                <w:right w:val="none" w:sz="0" w:space="0" w:color="auto"/>
              </w:divBdr>
              <w:divsChild>
                <w:div w:id="1490709742">
                  <w:marLeft w:val="0"/>
                  <w:marRight w:val="0"/>
                  <w:marTop w:val="0"/>
                  <w:marBottom w:val="0"/>
                  <w:divBdr>
                    <w:top w:val="none" w:sz="0" w:space="0" w:color="auto"/>
                    <w:left w:val="none" w:sz="0" w:space="0" w:color="auto"/>
                    <w:bottom w:val="none" w:sz="0" w:space="0" w:color="auto"/>
                    <w:right w:val="none" w:sz="0" w:space="0" w:color="auto"/>
                  </w:divBdr>
                  <w:divsChild>
                    <w:div w:id="1900239176">
                      <w:marLeft w:val="0"/>
                      <w:marRight w:val="0"/>
                      <w:marTop w:val="120"/>
                      <w:marBottom w:val="0"/>
                      <w:divBdr>
                        <w:top w:val="none" w:sz="0" w:space="0" w:color="auto"/>
                        <w:left w:val="none" w:sz="0" w:space="0" w:color="auto"/>
                        <w:bottom w:val="none" w:sz="0" w:space="0" w:color="auto"/>
                        <w:right w:val="none" w:sz="0" w:space="0" w:color="auto"/>
                      </w:divBdr>
                    </w:div>
                    <w:div w:id="884873387">
                      <w:marLeft w:val="0"/>
                      <w:marRight w:val="0"/>
                      <w:marTop w:val="0"/>
                      <w:marBottom w:val="0"/>
                      <w:divBdr>
                        <w:top w:val="none" w:sz="0" w:space="0" w:color="auto"/>
                        <w:left w:val="none" w:sz="0" w:space="0" w:color="auto"/>
                        <w:bottom w:val="none" w:sz="0" w:space="0" w:color="auto"/>
                        <w:right w:val="none" w:sz="0" w:space="0" w:color="auto"/>
                      </w:divBdr>
                    </w:div>
                  </w:divsChild>
                </w:div>
                <w:div w:id="836770957">
                  <w:marLeft w:val="0"/>
                  <w:marRight w:val="0"/>
                  <w:marTop w:val="0"/>
                  <w:marBottom w:val="0"/>
                  <w:divBdr>
                    <w:top w:val="none" w:sz="0" w:space="0" w:color="auto"/>
                    <w:left w:val="none" w:sz="0" w:space="0" w:color="auto"/>
                    <w:bottom w:val="none" w:sz="0" w:space="0" w:color="auto"/>
                    <w:right w:val="none" w:sz="0" w:space="0" w:color="auto"/>
                  </w:divBdr>
                  <w:divsChild>
                    <w:div w:id="359353714">
                      <w:marLeft w:val="0"/>
                      <w:marRight w:val="0"/>
                      <w:marTop w:val="120"/>
                      <w:marBottom w:val="0"/>
                      <w:divBdr>
                        <w:top w:val="none" w:sz="0" w:space="0" w:color="auto"/>
                        <w:left w:val="none" w:sz="0" w:space="0" w:color="auto"/>
                        <w:bottom w:val="none" w:sz="0" w:space="0" w:color="auto"/>
                        <w:right w:val="none" w:sz="0" w:space="0" w:color="auto"/>
                      </w:divBdr>
                    </w:div>
                    <w:div w:id="10544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842">
          <w:marLeft w:val="0"/>
          <w:marRight w:val="0"/>
          <w:marTop w:val="0"/>
          <w:marBottom w:val="0"/>
          <w:divBdr>
            <w:top w:val="none" w:sz="0" w:space="0" w:color="auto"/>
            <w:left w:val="none" w:sz="0" w:space="0" w:color="auto"/>
            <w:bottom w:val="none" w:sz="0" w:space="0" w:color="auto"/>
            <w:right w:val="none" w:sz="0" w:space="0" w:color="auto"/>
          </w:divBdr>
          <w:divsChild>
            <w:div w:id="102578950">
              <w:marLeft w:val="0"/>
              <w:marRight w:val="0"/>
              <w:marTop w:val="0"/>
              <w:marBottom w:val="0"/>
              <w:divBdr>
                <w:top w:val="none" w:sz="0" w:space="0" w:color="auto"/>
                <w:left w:val="none" w:sz="0" w:space="0" w:color="auto"/>
                <w:bottom w:val="none" w:sz="0" w:space="0" w:color="auto"/>
                <w:right w:val="none" w:sz="0" w:space="0" w:color="auto"/>
              </w:divBdr>
            </w:div>
          </w:divsChild>
        </w:div>
        <w:div w:id="1944218943">
          <w:marLeft w:val="0"/>
          <w:marRight w:val="0"/>
          <w:marTop w:val="0"/>
          <w:marBottom w:val="0"/>
          <w:divBdr>
            <w:top w:val="none" w:sz="0" w:space="0" w:color="auto"/>
            <w:left w:val="none" w:sz="0" w:space="0" w:color="auto"/>
            <w:bottom w:val="none" w:sz="0" w:space="0" w:color="auto"/>
            <w:right w:val="none" w:sz="0" w:space="0" w:color="auto"/>
          </w:divBdr>
          <w:divsChild>
            <w:div w:id="1847358345">
              <w:marLeft w:val="0"/>
              <w:marRight w:val="0"/>
              <w:marTop w:val="0"/>
              <w:marBottom w:val="0"/>
              <w:divBdr>
                <w:top w:val="none" w:sz="0" w:space="0" w:color="auto"/>
                <w:left w:val="none" w:sz="0" w:space="0" w:color="auto"/>
                <w:bottom w:val="none" w:sz="0" w:space="0" w:color="auto"/>
                <w:right w:val="none" w:sz="0" w:space="0" w:color="auto"/>
              </w:divBdr>
            </w:div>
          </w:divsChild>
        </w:div>
        <w:div w:id="1344279062">
          <w:marLeft w:val="0"/>
          <w:marRight w:val="0"/>
          <w:marTop w:val="0"/>
          <w:marBottom w:val="0"/>
          <w:divBdr>
            <w:top w:val="none" w:sz="0" w:space="0" w:color="auto"/>
            <w:left w:val="none" w:sz="0" w:space="0" w:color="auto"/>
            <w:bottom w:val="none" w:sz="0" w:space="0" w:color="auto"/>
            <w:right w:val="none" w:sz="0" w:space="0" w:color="auto"/>
          </w:divBdr>
          <w:divsChild>
            <w:div w:id="890262773">
              <w:marLeft w:val="0"/>
              <w:marRight w:val="0"/>
              <w:marTop w:val="0"/>
              <w:marBottom w:val="0"/>
              <w:divBdr>
                <w:top w:val="none" w:sz="0" w:space="0" w:color="auto"/>
                <w:left w:val="none" w:sz="0" w:space="0" w:color="auto"/>
                <w:bottom w:val="none" w:sz="0" w:space="0" w:color="auto"/>
                <w:right w:val="none" w:sz="0" w:space="0" w:color="auto"/>
              </w:divBdr>
            </w:div>
          </w:divsChild>
        </w:div>
        <w:div w:id="647630994">
          <w:marLeft w:val="0"/>
          <w:marRight w:val="0"/>
          <w:marTop w:val="0"/>
          <w:marBottom w:val="0"/>
          <w:divBdr>
            <w:top w:val="none" w:sz="0" w:space="0" w:color="auto"/>
            <w:left w:val="none" w:sz="0" w:space="0" w:color="auto"/>
            <w:bottom w:val="none" w:sz="0" w:space="0" w:color="auto"/>
            <w:right w:val="none" w:sz="0" w:space="0" w:color="auto"/>
          </w:divBdr>
          <w:divsChild>
            <w:div w:id="989482671">
              <w:marLeft w:val="0"/>
              <w:marRight w:val="0"/>
              <w:marTop w:val="0"/>
              <w:marBottom w:val="0"/>
              <w:divBdr>
                <w:top w:val="none" w:sz="0" w:space="0" w:color="auto"/>
                <w:left w:val="none" w:sz="0" w:space="0" w:color="auto"/>
                <w:bottom w:val="none" w:sz="0" w:space="0" w:color="auto"/>
                <w:right w:val="none" w:sz="0" w:space="0" w:color="auto"/>
              </w:divBdr>
              <w:divsChild>
                <w:div w:id="1456481293">
                  <w:marLeft w:val="0"/>
                  <w:marRight w:val="0"/>
                  <w:marTop w:val="0"/>
                  <w:marBottom w:val="0"/>
                  <w:divBdr>
                    <w:top w:val="none" w:sz="0" w:space="0" w:color="auto"/>
                    <w:left w:val="none" w:sz="0" w:space="0" w:color="auto"/>
                    <w:bottom w:val="none" w:sz="0" w:space="0" w:color="auto"/>
                    <w:right w:val="none" w:sz="0" w:space="0" w:color="auto"/>
                  </w:divBdr>
                  <w:divsChild>
                    <w:div w:id="1616908270">
                      <w:marLeft w:val="0"/>
                      <w:marRight w:val="0"/>
                      <w:marTop w:val="120"/>
                      <w:marBottom w:val="0"/>
                      <w:divBdr>
                        <w:top w:val="none" w:sz="0" w:space="0" w:color="auto"/>
                        <w:left w:val="none" w:sz="0" w:space="0" w:color="auto"/>
                        <w:bottom w:val="none" w:sz="0" w:space="0" w:color="auto"/>
                        <w:right w:val="none" w:sz="0" w:space="0" w:color="auto"/>
                      </w:divBdr>
                    </w:div>
                    <w:div w:id="986785533">
                      <w:marLeft w:val="0"/>
                      <w:marRight w:val="0"/>
                      <w:marTop w:val="0"/>
                      <w:marBottom w:val="0"/>
                      <w:divBdr>
                        <w:top w:val="none" w:sz="0" w:space="0" w:color="auto"/>
                        <w:left w:val="none" w:sz="0" w:space="0" w:color="auto"/>
                        <w:bottom w:val="none" w:sz="0" w:space="0" w:color="auto"/>
                        <w:right w:val="none" w:sz="0" w:space="0" w:color="auto"/>
                      </w:divBdr>
                    </w:div>
                  </w:divsChild>
                </w:div>
                <w:div w:id="1495146501">
                  <w:marLeft w:val="0"/>
                  <w:marRight w:val="0"/>
                  <w:marTop w:val="0"/>
                  <w:marBottom w:val="0"/>
                  <w:divBdr>
                    <w:top w:val="none" w:sz="0" w:space="0" w:color="auto"/>
                    <w:left w:val="none" w:sz="0" w:space="0" w:color="auto"/>
                    <w:bottom w:val="none" w:sz="0" w:space="0" w:color="auto"/>
                    <w:right w:val="none" w:sz="0" w:space="0" w:color="auto"/>
                  </w:divBdr>
                  <w:divsChild>
                    <w:div w:id="400640632">
                      <w:marLeft w:val="0"/>
                      <w:marRight w:val="0"/>
                      <w:marTop w:val="120"/>
                      <w:marBottom w:val="0"/>
                      <w:divBdr>
                        <w:top w:val="none" w:sz="0" w:space="0" w:color="auto"/>
                        <w:left w:val="none" w:sz="0" w:space="0" w:color="auto"/>
                        <w:bottom w:val="none" w:sz="0" w:space="0" w:color="auto"/>
                        <w:right w:val="none" w:sz="0" w:space="0" w:color="auto"/>
                      </w:divBdr>
                    </w:div>
                    <w:div w:id="129909400">
                      <w:marLeft w:val="0"/>
                      <w:marRight w:val="0"/>
                      <w:marTop w:val="0"/>
                      <w:marBottom w:val="0"/>
                      <w:divBdr>
                        <w:top w:val="none" w:sz="0" w:space="0" w:color="auto"/>
                        <w:left w:val="none" w:sz="0" w:space="0" w:color="auto"/>
                        <w:bottom w:val="none" w:sz="0" w:space="0" w:color="auto"/>
                        <w:right w:val="none" w:sz="0" w:space="0" w:color="auto"/>
                      </w:divBdr>
                    </w:div>
                  </w:divsChild>
                </w:div>
                <w:div w:id="1221940935">
                  <w:marLeft w:val="0"/>
                  <w:marRight w:val="0"/>
                  <w:marTop w:val="0"/>
                  <w:marBottom w:val="0"/>
                  <w:divBdr>
                    <w:top w:val="none" w:sz="0" w:space="0" w:color="auto"/>
                    <w:left w:val="none" w:sz="0" w:space="0" w:color="auto"/>
                    <w:bottom w:val="none" w:sz="0" w:space="0" w:color="auto"/>
                    <w:right w:val="none" w:sz="0" w:space="0" w:color="auto"/>
                  </w:divBdr>
                  <w:divsChild>
                    <w:div w:id="2002348167">
                      <w:marLeft w:val="0"/>
                      <w:marRight w:val="0"/>
                      <w:marTop w:val="120"/>
                      <w:marBottom w:val="0"/>
                      <w:divBdr>
                        <w:top w:val="none" w:sz="0" w:space="0" w:color="auto"/>
                        <w:left w:val="none" w:sz="0" w:space="0" w:color="auto"/>
                        <w:bottom w:val="none" w:sz="0" w:space="0" w:color="auto"/>
                        <w:right w:val="none" w:sz="0" w:space="0" w:color="auto"/>
                      </w:divBdr>
                    </w:div>
                    <w:div w:id="764619787">
                      <w:marLeft w:val="0"/>
                      <w:marRight w:val="0"/>
                      <w:marTop w:val="0"/>
                      <w:marBottom w:val="0"/>
                      <w:divBdr>
                        <w:top w:val="none" w:sz="0" w:space="0" w:color="auto"/>
                        <w:left w:val="none" w:sz="0" w:space="0" w:color="auto"/>
                        <w:bottom w:val="none" w:sz="0" w:space="0" w:color="auto"/>
                        <w:right w:val="none" w:sz="0" w:space="0" w:color="auto"/>
                      </w:divBdr>
                    </w:div>
                  </w:divsChild>
                </w:div>
                <w:div w:id="1556547518">
                  <w:marLeft w:val="0"/>
                  <w:marRight w:val="0"/>
                  <w:marTop w:val="0"/>
                  <w:marBottom w:val="0"/>
                  <w:divBdr>
                    <w:top w:val="none" w:sz="0" w:space="0" w:color="auto"/>
                    <w:left w:val="none" w:sz="0" w:space="0" w:color="auto"/>
                    <w:bottom w:val="none" w:sz="0" w:space="0" w:color="auto"/>
                    <w:right w:val="none" w:sz="0" w:space="0" w:color="auto"/>
                  </w:divBdr>
                  <w:divsChild>
                    <w:div w:id="868566637">
                      <w:marLeft w:val="0"/>
                      <w:marRight w:val="0"/>
                      <w:marTop w:val="120"/>
                      <w:marBottom w:val="0"/>
                      <w:divBdr>
                        <w:top w:val="none" w:sz="0" w:space="0" w:color="auto"/>
                        <w:left w:val="none" w:sz="0" w:space="0" w:color="auto"/>
                        <w:bottom w:val="none" w:sz="0" w:space="0" w:color="auto"/>
                        <w:right w:val="none" w:sz="0" w:space="0" w:color="auto"/>
                      </w:divBdr>
                    </w:div>
                    <w:div w:id="1430156796">
                      <w:marLeft w:val="0"/>
                      <w:marRight w:val="0"/>
                      <w:marTop w:val="0"/>
                      <w:marBottom w:val="0"/>
                      <w:divBdr>
                        <w:top w:val="none" w:sz="0" w:space="0" w:color="auto"/>
                        <w:left w:val="none" w:sz="0" w:space="0" w:color="auto"/>
                        <w:bottom w:val="none" w:sz="0" w:space="0" w:color="auto"/>
                        <w:right w:val="none" w:sz="0" w:space="0" w:color="auto"/>
                      </w:divBdr>
                    </w:div>
                  </w:divsChild>
                </w:div>
                <w:div w:id="632948589">
                  <w:marLeft w:val="0"/>
                  <w:marRight w:val="0"/>
                  <w:marTop w:val="0"/>
                  <w:marBottom w:val="0"/>
                  <w:divBdr>
                    <w:top w:val="none" w:sz="0" w:space="0" w:color="auto"/>
                    <w:left w:val="none" w:sz="0" w:space="0" w:color="auto"/>
                    <w:bottom w:val="none" w:sz="0" w:space="0" w:color="auto"/>
                    <w:right w:val="none" w:sz="0" w:space="0" w:color="auto"/>
                  </w:divBdr>
                  <w:divsChild>
                    <w:div w:id="324625066">
                      <w:marLeft w:val="0"/>
                      <w:marRight w:val="0"/>
                      <w:marTop w:val="120"/>
                      <w:marBottom w:val="0"/>
                      <w:divBdr>
                        <w:top w:val="none" w:sz="0" w:space="0" w:color="auto"/>
                        <w:left w:val="none" w:sz="0" w:space="0" w:color="auto"/>
                        <w:bottom w:val="none" w:sz="0" w:space="0" w:color="auto"/>
                        <w:right w:val="none" w:sz="0" w:space="0" w:color="auto"/>
                      </w:divBdr>
                    </w:div>
                    <w:div w:id="1244292985">
                      <w:marLeft w:val="0"/>
                      <w:marRight w:val="0"/>
                      <w:marTop w:val="0"/>
                      <w:marBottom w:val="0"/>
                      <w:divBdr>
                        <w:top w:val="none" w:sz="0" w:space="0" w:color="auto"/>
                        <w:left w:val="none" w:sz="0" w:space="0" w:color="auto"/>
                        <w:bottom w:val="none" w:sz="0" w:space="0" w:color="auto"/>
                        <w:right w:val="none" w:sz="0" w:space="0" w:color="auto"/>
                      </w:divBdr>
                    </w:div>
                  </w:divsChild>
                </w:div>
                <w:div w:id="2051686753">
                  <w:marLeft w:val="0"/>
                  <w:marRight w:val="0"/>
                  <w:marTop w:val="0"/>
                  <w:marBottom w:val="0"/>
                  <w:divBdr>
                    <w:top w:val="none" w:sz="0" w:space="0" w:color="auto"/>
                    <w:left w:val="none" w:sz="0" w:space="0" w:color="auto"/>
                    <w:bottom w:val="none" w:sz="0" w:space="0" w:color="auto"/>
                    <w:right w:val="none" w:sz="0" w:space="0" w:color="auto"/>
                  </w:divBdr>
                  <w:divsChild>
                    <w:div w:id="2053922993">
                      <w:marLeft w:val="0"/>
                      <w:marRight w:val="0"/>
                      <w:marTop w:val="120"/>
                      <w:marBottom w:val="0"/>
                      <w:divBdr>
                        <w:top w:val="none" w:sz="0" w:space="0" w:color="auto"/>
                        <w:left w:val="none" w:sz="0" w:space="0" w:color="auto"/>
                        <w:bottom w:val="none" w:sz="0" w:space="0" w:color="auto"/>
                        <w:right w:val="none" w:sz="0" w:space="0" w:color="auto"/>
                      </w:divBdr>
                    </w:div>
                    <w:div w:id="20881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51357">
          <w:marLeft w:val="0"/>
          <w:marRight w:val="0"/>
          <w:marTop w:val="0"/>
          <w:marBottom w:val="0"/>
          <w:divBdr>
            <w:top w:val="none" w:sz="0" w:space="0" w:color="auto"/>
            <w:left w:val="none" w:sz="0" w:space="0" w:color="auto"/>
            <w:bottom w:val="none" w:sz="0" w:space="0" w:color="auto"/>
            <w:right w:val="none" w:sz="0" w:space="0" w:color="auto"/>
          </w:divBdr>
          <w:divsChild>
            <w:div w:id="7986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8934">
      <w:bodyDiv w:val="1"/>
      <w:marLeft w:val="0"/>
      <w:marRight w:val="0"/>
      <w:marTop w:val="0"/>
      <w:marBottom w:val="0"/>
      <w:divBdr>
        <w:top w:val="none" w:sz="0" w:space="0" w:color="auto"/>
        <w:left w:val="none" w:sz="0" w:space="0" w:color="auto"/>
        <w:bottom w:val="none" w:sz="0" w:space="0" w:color="auto"/>
        <w:right w:val="none" w:sz="0" w:space="0" w:color="auto"/>
      </w:divBdr>
      <w:divsChild>
        <w:div w:id="679964407">
          <w:marLeft w:val="0"/>
          <w:marRight w:val="0"/>
          <w:marTop w:val="0"/>
          <w:marBottom w:val="0"/>
          <w:divBdr>
            <w:top w:val="none" w:sz="0" w:space="0" w:color="auto"/>
            <w:left w:val="none" w:sz="0" w:space="0" w:color="auto"/>
            <w:bottom w:val="none" w:sz="0" w:space="0" w:color="auto"/>
            <w:right w:val="none" w:sz="0" w:space="0" w:color="auto"/>
          </w:divBdr>
        </w:div>
        <w:div w:id="9918669">
          <w:marLeft w:val="0"/>
          <w:marRight w:val="0"/>
          <w:marTop w:val="0"/>
          <w:marBottom w:val="0"/>
          <w:divBdr>
            <w:top w:val="none" w:sz="0" w:space="0" w:color="auto"/>
            <w:left w:val="none" w:sz="0" w:space="0" w:color="auto"/>
            <w:bottom w:val="none" w:sz="0" w:space="0" w:color="auto"/>
            <w:right w:val="none" w:sz="0" w:space="0" w:color="auto"/>
          </w:divBdr>
          <w:divsChild>
            <w:div w:id="782963383">
              <w:marLeft w:val="0"/>
              <w:marRight w:val="0"/>
              <w:marTop w:val="0"/>
              <w:marBottom w:val="0"/>
              <w:divBdr>
                <w:top w:val="none" w:sz="0" w:space="0" w:color="auto"/>
                <w:left w:val="none" w:sz="0" w:space="0" w:color="auto"/>
                <w:bottom w:val="none" w:sz="0" w:space="0" w:color="auto"/>
                <w:right w:val="none" w:sz="0" w:space="0" w:color="auto"/>
              </w:divBdr>
            </w:div>
          </w:divsChild>
        </w:div>
        <w:div w:id="1418399817">
          <w:marLeft w:val="0"/>
          <w:marRight w:val="0"/>
          <w:marTop w:val="0"/>
          <w:marBottom w:val="0"/>
          <w:divBdr>
            <w:top w:val="none" w:sz="0" w:space="0" w:color="auto"/>
            <w:left w:val="none" w:sz="0" w:space="0" w:color="auto"/>
            <w:bottom w:val="none" w:sz="0" w:space="0" w:color="auto"/>
            <w:right w:val="none" w:sz="0" w:space="0" w:color="auto"/>
          </w:divBdr>
          <w:divsChild>
            <w:div w:id="1318194458">
              <w:marLeft w:val="0"/>
              <w:marRight w:val="0"/>
              <w:marTop w:val="120"/>
              <w:marBottom w:val="0"/>
              <w:divBdr>
                <w:top w:val="none" w:sz="0" w:space="0" w:color="auto"/>
                <w:left w:val="none" w:sz="0" w:space="0" w:color="auto"/>
                <w:bottom w:val="none" w:sz="0" w:space="0" w:color="auto"/>
                <w:right w:val="none" w:sz="0" w:space="0" w:color="auto"/>
              </w:divBdr>
            </w:div>
            <w:div w:id="708066714">
              <w:marLeft w:val="0"/>
              <w:marRight w:val="0"/>
              <w:marTop w:val="0"/>
              <w:marBottom w:val="0"/>
              <w:divBdr>
                <w:top w:val="none" w:sz="0" w:space="0" w:color="auto"/>
                <w:left w:val="none" w:sz="0" w:space="0" w:color="auto"/>
                <w:bottom w:val="none" w:sz="0" w:space="0" w:color="auto"/>
                <w:right w:val="none" w:sz="0" w:space="0" w:color="auto"/>
              </w:divBdr>
            </w:div>
          </w:divsChild>
        </w:div>
        <w:div w:id="1301958902">
          <w:marLeft w:val="0"/>
          <w:marRight w:val="0"/>
          <w:marTop w:val="0"/>
          <w:marBottom w:val="0"/>
          <w:divBdr>
            <w:top w:val="none" w:sz="0" w:space="0" w:color="auto"/>
            <w:left w:val="none" w:sz="0" w:space="0" w:color="auto"/>
            <w:bottom w:val="none" w:sz="0" w:space="0" w:color="auto"/>
            <w:right w:val="none" w:sz="0" w:space="0" w:color="auto"/>
          </w:divBdr>
          <w:divsChild>
            <w:div w:id="1439565074">
              <w:marLeft w:val="0"/>
              <w:marRight w:val="0"/>
              <w:marTop w:val="120"/>
              <w:marBottom w:val="0"/>
              <w:divBdr>
                <w:top w:val="none" w:sz="0" w:space="0" w:color="auto"/>
                <w:left w:val="none" w:sz="0" w:space="0" w:color="auto"/>
                <w:bottom w:val="none" w:sz="0" w:space="0" w:color="auto"/>
                <w:right w:val="none" w:sz="0" w:space="0" w:color="auto"/>
              </w:divBdr>
            </w:div>
            <w:div w:id="374240022">
              <w:marLeft w:val="0"/>
              <w:marRight w:val="0"/>
              <w:marTop w:val="0"/>
              <w:marBottom w:val="0"/>
              <w:divBdr>
                <w:top w:val="none" w:sz="0" w:space="0" w:color="auto"/>
                <w:left w:val="none" w:sz="0" w:space="0" w:color="auto"/>
                <w:bottom w:val="none" w:sz="0" w:space="0" w:color="auto"/>
                <w:right w:val="none" w:sz="0" w:space="0" w:color="auto"/>
              </w:divBdr>
            </w:div>
          </w:divsChild>
        </w:div>
        <w:div w:id="1898199135">
          <w:marLeft w:val="0"/>
          <w:marRight w:val="0"/>
          <w:marTop w:val="0"/>
          <w:marBottom w:val="0"/>
          <w:divBdr>
            <w:top w:val="none" w:sz="0" w:space="0" w:color="auto"/>
            <w:left w:val="none" w:sz="0" w:space="0" w:color="auto"/>
            <w:bottom w:val="none" w:sz="0" w:space="0" w:color="auto"/>
            <w:right w:val="none" w:sz="0" w:space="0" w:color="auto"/>
          </w:divBdr>
          <w:divsChild>
            <w:div w:id="433329253">
              <w:marLeft w:val="0"/>
              <w:marRight w:val="0"/>
              <w:marTop w:val="0"/>
              <w:marBottom w:val="0"/>
              <w:divBdr>
                <w:top w:val="none" w:sz="0" w:space="0" w:color="auto"/>
                <w:left w:val="none" w:sz="0" w:space="0" w:color="auto"/>
                <w:bottom w:val="none" w:sz="0" w:space="0" w:color="auto"/>
                <w:right w:val="none" w:sz="0" w:space="0" w:color="auto"/>
              </w:divBdr>
            </w:div>
          </w:divsChild>
        </w:div>
        <w:div w:id="1113599968">
          <w:marLeft w:val="0"/>
          <w:marRight w:val="0"/>
          <w:marTop w:val="0"/>
          <w:marBottom w:val="0"/>
          <w:divBdr>
            <w:top w:val="none" w:sz="0" w:space="0" w:color="auto"/>
            <w:left w:val="none" w:sz="0" w:space="0" w:color="auto"/>
            <w:bottom w:val="none" w:sz="0" w:space="0" w:color="auto"/>
            <w:right w:val="none" w:sz="0" w:space="0" w:color="auto"/>
          </w:divBdr>
          <w:divsChild>
            <w:div w:id="1301811303">
              <w:marLeft w:val="0"/>
              <w:marRight w:val="0"/>
              <w:marTop w:val="0"/>
              <w:marBottom w:val="0"/>
              <w:divBdr>
                <w:top w:val="none" w:sz="0" w:space="0" w:color="auto"/>
                <w:left w:val="none" w:sz="0" w:space="0" w:color="auto"/>
                <w:bottom w:val="none" w:sz="0" w:space="0" w:color="auto"/>
                <w:right w:val="none" w:sz="0" w:space="0" w:color="auto"/>
              </w:divBdr>
              <w:divsChild>
                <w:div w:id="992298544">
                  <w:marLeft w:val="0"/>
                  <w:marRight w:val="0"/>
                  <w:marTop w:val="0"/>
                  <w:marBottom w:val="0"/>
                  <w:divBdr>
                    <w:top w:val="none" w:sz="0" w:space="0" w:color="auto"/>
                    <w:left w:val="none" w:sz="0" w:space="0" w:color="auto"/>
                    <w:bottom w:val="none" w:sz="0" w:space="0" w:color="auto"/>
                    <w:right w:val="none" w:sz="0" w:space="0" w:color="auto"/>
                  </w:divBdr>
                  <w:divsChild>
                    <w:div w:id="812407095">
                      <w:marLeft w:val="0"/>
                      <w:marRight w:val="0"/>
                      <w:marTop w:val="120"/>
                      <w:marBottom w:val="0"/>
                      <w:divBdr>
                        <w:top w:val="none" w:sz="0" w:space="0" w:color="auto"/>
                        <w:left w:val="none" w:sz="0" w:space="0" w:color="auto"/>
                        <w:bottom w:val="none" w:sz="0" w:space="0" w:color="auto"/>
                        <w:right w:val="none" w:sz="0" w:space="0" w:color="auto"/>
                      </w:divBdr>
                    </w:div>
                    <w:div w:id="773718511">
                      <w:marLeft w:val="0"/>
                      <w:marRight w:val="0"/>
                      <w:marTop w:val="0"/>
                      <w:marBottom w:val="0"/>
                      <w:divBdr>
                        <w:top w:val="none" w:sz="0" w:space="0" w:color="auto"/>
                        <w:left w:val="none" w:sz="0" w:space="0" w:color="auto"/>
                        <w:bottom w:val="none" w:sz="0" w:space="0" w:color="auto"/>
                        <w:right w:val="none" w:sz="0" w:space="0" w:color="auto"/>
                      </w:divBdr>
                    </w:div>
                  </w:divsChild>
                </w:div>
                <w:div w:id="480654772">
                  <w:marLeft w:val="0"/>
                  <w:marRight w:val="0"/>
                  <w:marTop w:val="0"/>
                  <w:marBottom w:val="0"/>
                  <w:divBdr>
                    <w:top w:val="none" w:sz="0" w:space="0" w:color="auto"/>
                    <w:left w:val="none" w:sz="0" w:space="0" w:color="auto"/>
                    <w:bottom w:val="none" w:sz="0" w:space="0" w:color="auto"/>
                    <w:right w:val="none" w:sz="0" w:space="0" w:color="auto"/>
                  </w:divBdr>
                  <w:divsChild>
                    <w:div w:id="1171480624">
                      <w:marLeft w:val="0"/>
                      <w:marRight w:val="0"/>
                      <w:marTop w:val="120"/>
                      <w:marBottom w:val="0"/>
                      <w:divBdr>
                        <w:top w:val="none" w:sz="0" w:space="0" w:color="auto"/>
                        <w:left w:val="none" w:sz="0" w:space="0" w:color="auto"/>
                        <w:bottom w:val="none" w:sz="0" w:space="0" w:color="auto"/>
                        <w:right w:val="none" w:sz="0" w:space="0" w:color="auto"/>
                      </w:divBdr>
                    </w:div>
                    <w:div w:id="8640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03907">
          <w:marLeft w:val="0"/>
          <w:marRight w:val="0"/>
          <w:marTop w:val="0"/>
          <w:marBottom w:val="0"/>
          <w:divBdr>
            <w:top w:val="none" w:sz="0" w:space="0" w:color="auto"/>
            <w:left w:val="none" w:sz="0" w:space="0" w:color="auto"/>
            <w:bottom w:val="none" w:sz="0" w:space="0" w:color="auto"/>
            <w:right w:val="none" w:sz="0" w:space="0" w:color="auto"/>
          </w:divBdr>
          <w:divsChild>
            <w:div w:id="1559245788">
              <w:marLeft w:val="0"/>
              <w:marRight w:val="0"/>
              <w:marTop w:val="0"/>
              <w:marBottom w:val="0"/>
              <w:divBdr>
                <w:top w:val="none" w:sz="0" w:space="0" w:color="auto"/>
                <w:left w:val="none" w:sz="0" w:space="0" w:color="auto"/>
                <w:bottom w:val="none" w:sz="0" w:space="0" w:color="auto"/>
                <w:right w:val="none" w:sz="0" w:space="0" w:color="auto"/>
              </w:divBdr>
            </w:div>
          </w:divsChild>
        </w:div>
        <w:div w:id="2092703208">
          <w:marLeft w:val="0"/>
          <w:marRight w:val="0"/>
          <w:marTop w:val="0"/>
          <w:marBottom w:val="0"/>
          <w:divBdr>
            <w:top w:val="none" w:sz="0" w:space="0" w:color="auto"/>
            <w:left w:val="none" w:sz="0" w:space="0" w:color="auto"/>
            <w:bottom w:val="none" w:sz="0" w:space="0" w:color="auto"/>
            <w:right w:val="none" w:sz="0" w:space="0" w:color="auto"/>
          </w:divBdr>
          <w:divsChild>
            <w:div w:id="1621104328">
              <w:marLeft w:val="0"/>
              <w:marRight w:val="0"/>
              <w:marTop w:val="0"/>
              <w:marBottom w:val="0"/>
              <w:divBdr>
                <w:top w:val="none" w:sz="0" w:space="0" w:color="auto"/>
                <w:left w:val="none" w:sz="0" w:space="0" w:color="auto"/>
                <w:bottom w:val="none" w:sz="0" w:space="0" w:color="auto"/>
                <w:right w:val="none" w:sz="0" w:space="0" w:color="auto"/>
              </w:divBdr>
              <w:divsChild>
                <w:div w:id="978799087">
                  <w:marLeft w:val="0"/>
                  <w:marRight w:val="0"/>
                  <w:marTop w:val="120"/>
                  <w:marBottom w:val="0"/>
                  <w:divBdr>
                    <w:top w:val="none" w:sz="0" w:space="0" w:color="auto"/>
                    <w:left w:val="none" w:sz="0" w:space="0" w:color="auto"/>
                    <w:bottom w:val="none" w:sz="0" w:space="0" w:color="auto"/>
                    <w:right w:val="none" w:sz="0" w:space="0" w:color="auto"/>
                  </w:divBdr>
                </w:div>
                <w:div w:id="19746037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85124501">
          <w:marLeft w:val="0"/>
          <w:marRight w:val="0"/>
          <w:marTop w:val="0"/>
          <w:marBottom w:val="0"/>
          <w:divBdr>
            <w:top w:val="none" w:sz="0" w:space="0" w:color="auto"/>
            <w:left w:val="none" w:sz="0" w:space="0" w:color="auto"/>
            <w:bottom w:val="none" w:sz="0" w:space="0" w:color="auto"/>
            <w:right w:val="none" w:sz="0" w:space="0" w:color="auto"/>
          </w:divBdr>
          <w:divsChild>
            <w:div w:id="1349604162">
              <w:marLeft w:val="0"/>
              <w:marRight w:val="0"/>
              <w:marTop w:val="0"/>
              <w:marBottom w:val="0"/>
              <w:divBdr>
                <w:top w:val="none" w:sz="0" w:space="0" w:color="auto"/>
                <w:left w:val="none" w:sz="0" w:space="0" w:color="auto"/>
                <w:bottom w:val="none" w:sz="0" w:space="0" w:color="auto"/>
                <w:right w:val="none" w:sz="0" w:space="0" w:color="auto"/>
              </w:divBdr>
            </w:div>
          </w:divsChild>
        </w:div>
        <w:div w:id="160394958">
          <w:marLeft w:val="0"/>
          <w:marRight w:val="0"/>
          <w:marTop w:val="0"/>
          <w:marBottom w:val="0"/>
          <w:divBdr>
            <w:top w:val="none" w:sz="0" w:space="0" w:color="auto"/>
            <w:left w:val="none" w:sz="0" w:space="0" w:color="auto"/>
            <w:bottom w:val="none" w:sz="0" w:space="0" w:color="auto"/>
            <w:right w:val="none" w:sz="0" w:space="0" w:color="auto"/>
          </w:divBdr>
          <w:divsChild>
            <w:div w:id="1029454282">
              <w:marLeft w:val="0"/>
              <w:marRight w:val="0"/>
              <w:marTop w:val="0"/>
              <w:marBottom w:val="0"/>
              <w:divBdr>
                <w:top w:val="none" w:sz="0" w:space="0" w:color="auto"/>
                <w:left w:val="none" w:sz="0" w:space="0" w:color="auto"/>
                <w:bottom w:val="none" w:sz="0" w:space="0" w:color="auto"/>
                <w:right w:val="none" w:sz="0" w:space="0" w:color="auto"/>
              </w:divBdr>
            </w:div>
          </w:divsChild>
        </w:div>
        <w:div w:id="774331421">
          <w:marLeft w:val="0"/>
          <w:marRight w:val="0"/>
          <w:marTop w:val="0"/>
          <w:marBottom w:val="0"/>
          <w:divBdr>
            <w:top w:val="none" w:sz="0" w:space="0" w:color="auto"/>
            <w:left w:val="none" w:sz="0" w:space="0" w:color="auto"/>
            <w:bottom w:val="none" w:sz="0" w:space="0" w:color="auto"/>
            <w:right w:val="none" w:sz="0" w:space="0" w:color="auto"/>
          </w:divBdr>
          <w:divsChild>
            <w:div w:id="2142653386">
              <w:marLeft w:val="0"/>
              <w:marRight w:val="0"/>
              <w:marTop w:val="0"/>
              <w:marBottom w:val="0"/>
              <w:divBdr>
                <w:top w:val="none" w:sz="0" w:space="0" w:color="auto"/>
                <w:left w:val="none" w:sz="0" w:space="0" w:color="auto"/>
                <w:bottom w:val="none" w:sz="0" w:space="0" w:color="auto"/>
                <w:right w:val="none" w:sz="0" w:space="0" w:color="auto"/>
              </w:divBdr>
            </w:div>
          </w:divsChild>
        </w:div>
        <w:div w:id="689916643">
          <w:marLeft w:val="0"/>
          <w:marRight w:val="0"/>
          <w:marTop w:val="0"/>
          <w:marBottom w:val="0"/>
          <w:divBdr>
            <w:top w:val="none" w:sz="0" w:space="0" w:color="auto"/>
            <w:left w:val="none" w:sz="0" w:space="0" w:color="auto"/>
            <w:bottom w:val="none" w:sz="0" w:space="0" w:color="auto"/>
            <w:right w:val="none" w:sz="0" w:space="0" w:color="auto"/>
          </w:divBdr>
          <w:divsChild>
            <w:div w:id="3485370">
              <w:marLeft w:val="0"/>
              <w:marRight w:val="0"/>
              <w:marTop w:val="0"/>
              <w:marBottom w:val="0"/>
              <w:divBdr>
                <w:top w:val="none" w:sz="0" w:space="0" w:color="auto"/>
                <w:left w:val="none" w:sz="0" w:space="0" w:color="auto"/>
                <w:bottom w:val="none" w:sz="0" w:space="0" w:color="auto"/>
                <w:right w:val="none" w:sz="0" w:space="0" w:color="auto"/>
              </w:divBdr>
              <w:divsChild>
                <w:div w:id="874974315">
                  <w:marLeft w:val="0"/>
                  <w:marRight w:val="0"/>
                  <w:marTop w:val="0"/>
                  <w:marBottom w:val="0"/>
                  <w:divBdr>
                    <w:top w:val="none" w:sz="0" w:space="0" w:color="auto"/>
                    <w:left w:val="none" w:sz="0" w:space="0" w:color="auto"/>
                    <w:bottom w:val="none" w:sz="0" w:space="0" w:color="auto"/>
                    <w:right w:val="none" w:sz="0" w:space="0" w:color="auto"/>
                  </w:divBdr>
                  <w:divsChild>
                    <w:div w:id="1457337892">
                      <w:marLeft w:val="0"/>
                      <w:marRight w:val="0"/>
                      <w:marTop w:val="120"/>
                      <w:marBottom w:val="0"/>
                      <w:divBdr>
                        <w:top w:val="none" w:sz="0" w:space="0" w:color="auto"/>
                        <w:left w:val="none" w:sz="0" w:space="0" w:color="auto"/>
                        <w:bottom w:val="none" w:sz="0" w:space="0" w:color="auto"/>
                        <w:right w:val="none" w:sz="0" w:space="0" w:color="auto"/>
                      </w:divBdr>
                    </w:div>
                    <w:div w:id="302588898">
                      <w:marLeft w:val="0"/>
                      <w:marRight w:val="0"/>
                      <w:marTop w:val="0"/>
                      <w:marBottom w:val="0"/>
                      <w:divBdr>
                        <w:top w:val="none" w:sz="0" w:space="0" w:color="auto"/>
                        <w:left w:val="none" w:sz="0" w:space="0" w:color="auto"/>
                        <w:bottom w:val="none" w:sz="0" w:space="0" w:color="auto"/>
                        <w:right w:val="none" w:sz="0" w:space="0" w:color="auto"/>
                      </w:divBdr>
                    </w:div>
                  </w:divsChild>
                </w:div>
                <w:div w:id="1646811649">
                  <w:marLeft w:val="0"/>
                  <w:marRight w:val="0"/>
                  <w:marTop w:val="0"/>
                  <w:marBottom w:val="0"/>
                  <w:divBdr>
                    <w:top w:val="none" w:sz="0" w:space="0" w:color="auto"/>
                    <w:left w:val="none" w:sz="0" w:space="0" w:color="auto"/>
                    <w:bottom w:val="none" w:sz="0" w:space="0" w:color="auto"/>
                    <w:right w:val="none" w:sz="0" w:space="0" w:color="auto"/>
                  </w:divBdr>
                  <w:divsChild>
                    <w:div w:id="31031195">
                      <w:marLeft w:val="0"/>
                      <w:marRight w:val="0"/>
                      <w:marTop w:val="120"/>
                      <w:marBottom w:val="0"/>
                      <w:divBdr>
                        <w:top w:val="none" w:sz="0" w:space="0" w:color="auto"/>
                        <w:left w:val="none" w:sz="0" w:space="0" w:color="auto"/>
                        <w:bottom w:val="none" w:sz="0" w:space="0" w:color="auto"/>
                        <w:right w:val="none" w:sz="0" w:space="0" w:color="auto"/>
                      </w:divBdr>
                    </w:div>
                    <w:div w:id="2416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11238">
          <w:marLeft w:val="0"/>
          <w:marRight w:val="0"/>
          <w:marTop w:val="0"/>
          <w:marBottom w:val="0"/>
          <w:divBdr>
            <w:top w:val="none" w:sz="0" w:space="0" w:color="auto"/>
            <w:left w:val="none" w:sz="0" w:space="0" w:color="auto"/>
            <w:bottom w:val="none" w:sz="0" w:space="0" w:color="auto"/>
            <w:right w:val="none" w:sz="0" w:space="0" w:color="auto"/>
          </w:divBdr>
          <w:divsChild>
            <w:div w:id="34816180">
              <w:marLeft w:val="0"/>
              <w:marRight w:val="0"/>
              <w:marTop w:val="0"/>
              <w:marBottom w:val="0"/>
              <w:divBdr>
                <w:top w:val="none" w:sz="0" w:space="0" w:color="auto"/>
                <w:left w:val="none" w:sz="0" w:space="0" w:color="auto"/>
                <w:bottom w:val="none" w:sz="0" w:space="0" w:color="auto"/>
                <w:right w:val="none" w:sz="0" w:space="0" w:color="auto"/>
              </w:divBdr>
            </w:div>
          </w:divsChild>
        </w:div>
        <w:div w:id="1172837017">
          <w:marLeft w:val="0"/>
          <w:marRight w:val="0"/>
          <w:marTop w:val="0"/>
          <w:marBottom w:val="0"/>
          <w:divBdr>
            <w:top w:val="none" w:sz="0" w:space="0" w:color="auto"/>
            <w:left w:val="none" w:sz="0" w:space="0" w:color="auto"/>
            <w:bottom w:val="none" w:sz="0" w:space="0" w:color="auto"/>
            <w:right w:val="none" w:sz="0" w:space="0" w:color="auto"/>
          </w:divBdr>
          <w:divsChild>
            <w:div w:id="785320292">
              <w:marLeft w:val="0"/>
              <w:marRight w:val="0"/>
              <w:marTop w:val="0"/>
              <w:marBottom w:val="0"/>
              <w:divBdr>
                <w:top w:val="none" w:sz="0" w:space="0" w:color="auto"/>
                <w:left w:val="none" w:sz="0" w:space="0" w:color="auto"/>
                <w:bottom w:val="none" w:sz="0" w:space="0" w:color="auto"/>
                <w:right w:val="none" w:sz="0" w:space="0" w:color="auto"/>
              </w:divBdr>
            </w:div>
          </w:divsChild>
        </w:div>
        <w:div w:id="554507551">
          <w:marLeft w:val="0"/>
          <w:marRight w:val="0"/>
          <w:marTop w:val="0"/>
          <w:marBottom w:val="0"/>
          <w:divBdr>
            <w:top w:val="none" w:sz="0" w:space="0" w:color="auto"/>
            <w:left w:val="none" w:sz="0" w:space="0" w:color="auto"/>
            <w:bottom w:val="none" w:sz="0" w:space="0" w:color="auto"/>
            <w:right w:val="none" w:sz="0" w:space="0" w:color="auto"/>
          </w:divBdr>
          <w:divsChild>
            <w:div w:id="2040037342">
              <w:marLeft w:val="0"/>
              <w:marRight w:val="0"/>
              <w:marTop w:val="0"/>
              <w:marBottom w:val="0"/>
              <w:divBdr>
                <w:top w:val="none" w:sz="0" w:space="0" w:color="auto"/>
                <w:left w:val="none" w:sz="0" w:space="0" w:color="auto"/>
                <w:bottom w:val="none" w:sz="0" w:space="0" w:color="auto"/>
                <w:right w:val="none" w:sz="0" w:space="0" w:color="auto"/>
              </w:divBdr>
            </w:div>
          </w:divsChild>
        </w:div>
        <w:div w:id="1346665258">
          <w:marLeft w:val="0"/>
          <w:marRight w:val="0"/>
          <w:marTop w:val="0"/>
          <w:marBottom w:val="0"/>
          <w:divBdr>
            <w:top w:val="none" w:sz="0" w:space="0" w:color="auto"/>
            <w:left w:val="none" w:sz="0" w:space="0" w:color="auto"/>
            <w:bottom w:val="none" w:sz="0" w:space="0" w:color="auto"/>
            <w:right w:val="none" w:sz="0" w:space="0" w:color="auto"/>
          </w:divBdr>
          <w:divsChild>
            <w:div w:id="11038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4486">
      <w:bodyDiv w:val="1"/>
      <w:marLeft w:val="0"/>
      <w:marRight w:val="0"/>
      <w:marTop w:val="0"/>
      <w:marBottom w:val="0"/>
      <w:divBdr>
        <w:top w:val="none" w:sz="0" w:space="0" w:color="auto"/>
        <w:left w:val="none" w:sz="0" w:space="0" w:color="auto"/>
        <w:bottom w:val="none" w:sz="0" w:space="0" w:color="auto"/>
        <w:right w:val="none" w:sz="0" w:space="0" w:color="auto"/>
      </w:divBdr>
      <w:divsChild>
        <w:div w:id="77291663">
          <w:marLeft w:val="0"/>
          <w:marRight w:val="0"/>
          <w:marTop w:val="0"/>
          <w:marBottom w:val="0"/>
          <w:divBdr>
            <w:top w:val="none" w:sz="0" w:space="0" w:color="auto"/>
            <w:left w:val="none" w:sz="0" w:space="0" w:color="auto"/>
            <w:bottom w:val="none" w:sz="0" w:space="0" w:color="auto"/>
            <w:right w:val="none" w:sz="0" w:space="0" w:color="auto"/>
          </w:divBdr>
        </w:div>
        <w:div w:id="1233394611">
          <w:marLeft w:val="0"/>
          <w:marRight w:val="0"/>
          <w:marTop w:val="0"/>
          <w:marBottom w:val="0"/>
          <w:divBdr>
            <w:top w:val="none" w:sz="0" w:space="0" w:color="auto"/>
            <w:left w:val="none" w:sz="0" w:space="0" w:color="auto"/>
            <w:bottom w:val="none" w:sz="0" w:space="0" w:color="auto"/>
            <w:right w:val="none" w:sz="0" w:space="0" w:color="auto"/>
          </w:divBdr>
          <w:divsChild>
            <w:div w:id="466094089">
              <w:marLeft w:val="0"/>
              <w:marRight w:val="0"/>
              <w:marTop w:val="0"/>
              <w:marBottom w:val="0"/>
              <w:divBdr>
                <w:top w:val="none" w:sz="0" w:space="0" w:color="auto"/>
                <w:left w:val="none" w:sz="0" w:space="0" w:color="auto"/>
                <w:bottom w:val="none" w:sz="0" w:space="0" w:color="auto"/>
                <w:right w:val="none" w:sz="0" w:space="0" w:color="auto"/>
              </w:divBdr>
              <w:divsChild>
                <w:div w:id="1917857123">
                  <w:marLeft w:val="0"/>
                  <w:marRight w:val="0"/>
                  <w:marTop w:val="0"/>
                  <w:marBottom w:val="0"/>
                  <w:divBdr>
                    <w:top w:val="none" w:sz="0" w:space="0" w:color="auto"/>
                    <w:left w:val="none" w:sz="0" w:space="0" w:color="auto"/>
                    <w:bottom w:val="none" w:sz="0" w:space="0" w:color="auto"/>
                    <w:right w:val="none" w:sz="0" w:space="0" w:color="auto"/>
                  </w:divBdr>
                  <w:divsChild>
                    <w:div w:id="2006663439">
                      <w:marLeft w:val="0"/>
                      <w:marRight w:val="0"/>
                      <w:marTop w:val="120"/>
                      <w:marBottom w:val="0"/>
                      <w:divBdr>
                        <w:top w:val="none" w:sz="0" w:space="0" w:color="auto"/>
                        <w:left w:val="none" w:sz="0" w:space="0" w:color="auto"/>
                        <w:bottom w:val="none" w:sz="0" w:space="0" w:color="auto"/>
                        <w:right w:val="none" w:sz="0" w:space="0" w:color="auto"/>
                      </w:divBdr>
                    </w:div>
                    <w:div w:id="1715498145">
                      <w:marLeft w:val="0"/>
                      <w:marRight w:val="0"/>
                      <w:marTop w:val="0"/>
                      <w:marBottom w:val="0"/>
                      <w:divBdr>
                        <w:top w:val="none" w:sz="0" w:space="0" w:color="auto"/>
                        <w:left w:val="none" w:sz="0" w:space="0" w:color="auto"/>
                        <w:bottom w:val="none" w:sz="0" w:space="0" w:color="auto"/>
                        <w:right w:val="none" w:sz="0" w:space="0" w:color="auto"/>
                      </w:divBdr>
                    </w:div>
                  </w:divsChild>
                </w:div>
                <w:div w:id="1100485986">
                  <w:marLeft w:val="0"/>
                  <w:marRight w:val="0"/>
                  <w:marTop w:val="0"/>
                  <w:marBottom w:val="0"/>
                  <w:divBdr>
                    <w:top w:val="none" w:sz="0" w:space="0" w:color="auto"/>
                    <w:left w:val="none" w:sz="0" w:space="0" w:color="auto"/>
                    <w:bottom w:val="none" w:sz="0" w:space="0" w:color="auto"/>
                    <w:right w:val="none" w:sz="0" w:space="0" w:color="auto"/>
                  </w:divBdr>
                  <w:divsChild>
                    <w:div w:id="1272593673">
                      <w:marLeft w:val="0"/>
                      <w:marRight w:val="0"/>
                      <w:marTop w:val="120"/>
                      <w:marBottom w:val="0"/>
                      <w:divBdr>
                        <w:top w:val="none" w:sz="0" w:space="0" w:color="auto"/>
                        <w:left w:val="none" w:sz="0" w:space="0" w:color="auto"/>
                        <w:bottom w:val="none" w:sz="0" w:space="0" w:color="auto"/>
                        <w:right w:val="none" w:sz="0" w:space="0" w:color="auto"/>
                      </w:divBdr>
                    </w:div>
                    <w:div w:id="417946438">
                      <w:marLeft w:val="0"/>
                      <w:marRight w:val="0"/>
                      <w:marTop w:val="0"/>
                      <w:marBottom w:val="0"/>
                      <w:divBdr>
                        <w:top w:val="none" w:sz="0" w:space="0" w:color="auto"/>
                        <w:left w:val="none" w:sz="0" w:space="0" w:color="auto"/>
                        <w:bottom w:val="none" w:sz="0" w:space="0" w:color="auto"/>
                        <w:right w:val="none" w:sz="0" w:space="0" w:color="auto"/>
                      </w:divBdr>
                    </w:div>
                  </w:divsChild>
                </w:div>
                <w:div w:id="1244143543">
                  <w:marLeft w:val="0"/>
                  <w:marRight w:val="0"/>
                  <w:marTop w:val="0"/>
                  <w:marBottom w:val="0"/>
                  <w:divBdr>
                    <w:top w:val="none" w:sz="0" w:space="0" w:color="auto"/>
                    <w:left w:val="none" w:sz="0" w:space="0" w:color="auto"/>
                    <w:bottom w:val="none" w:sz="0" w:space="0" w:color="auto"/>
                    <w:right w:val="none" w:sz="0" w:space="0" w:color="auto"/>
                  </w:divBdr>
                  <w:divsChild>
                    <w:div w:id="1702628720">
                      <w:marLeft w:val="0"/>
                      <w:marRight w:val="0"/>
                      <w:marTop w:val="120"/>
                      <w:marBottom w:val="0"/>
                      <w:divBdr>
                        <w:top w:val="none" w:sz="0" w:space="0" w:color="auto"/>
                        <w:left w:val="none" w:sz="0" w:space="0" w:color="auto"/>
                        <w:bottom w:val="none" w:sz="0" w:space="0" w:color="auto"/>
                        <w:right w:val="none" w:sz="0" w:space="0" w:color="auto"/>
                      </w:divBdr>
                    </w:div>
                    <w:div w:id="2124180169">
                      <w:marLeft w:val="0"/>
                      <w:marRight w:val="0"/>
                      <w:marTop w:val="0"/>
                      <w:marBottom w:val="0"/>
                      <w:divBdr>
                        <w:top w:val="none" w:sz="0" w:space="0" w:color="auto"/>
                        <w:left w:val="none" w:sz="0" w:space="0" w:color="auto"/>
                        <w:bottom w:val="none" w:sz="0" w:space="0" w:color="auto"/>
                        <w:right w:val="none" w:sz="0" w:space="0" w:color="auto"/>
                      </w:divBdr>
                    </w:div>
                  </w:divsChild>
                </w:div>
                <w:div w:id="296959467">
                  <w:marLeft w:val="0"/>
                  <w:marRight w:val="0"/>
                  <w:marTop w:val="0"/>
                  <w:marBottom w:val="0"/>
                  <w:divBdr>
                    <w:top w:val="none" w:sz="0" w:space="0" w:color="auto"/>
                    <w:left w:val="none" w:sz="0" w:space="0" w:color="auto"/>
                    <w:bottom w:val="none" w:sz="0" w:space="0" w:color="auto"/>
                    <w:right w:val="none" w:sz="0" w:space="0" w:color="auto"/>
                  </w:divBdr>
                  <w:divsChild>
                    <w:div w:id="959800625">
                      <w:marLeft w:val="0"/>
                      <w:marRight w:val="0"/>
                      <w:marTop w:val="120"/>
                      <w:marBottom w:val="0"/>
                      <w:divBdr>
                        <w:top w:val="none" w:sz="0" w:space="0" w:color="auto"/>
                        <w:left w:val="none" w:sz="0" w:space="0" w:color="auto"/>
                        <w:bottom w:val="none" w:sz="0" w:space="0" w:color="auto"/>
                        <w:right w:val="none" w:sz="0" w:space="0" w:color="auto"/>
                      </w:divBdr>
                    </w:div>
                    <w:div w:id="866913355">
                      <w:marLeft w:val="0"/>
                      <w:marRight w:val="0"/>
                      <w:marTop w:val="0"/>
                      <w:marBottom w:val="0"/>
                      <w:divBdr>
                        <w:top w:val="none" w:sz="0" w:space="0" w:color="auto"/>
                        <w:left w:val="none" w:sz="0" w:space="0" w:color="auto"/>
                        <w:bottom w:val="none" w:sz="0" w:space="0" w:color="auto"/>
                        <w:right w:val="none" w:sz="0" w:space="0" w:color="auto"/>
                      </w:divBdr>
                    </w:div>
                  </w:divsChild>
                </w:div>
                <w:div w:id="1565994730">
                  <w:marLeft w:val="0"/>
                  <w:marRight w:val="0"/>
                  <w:marTop w:val="0"/>
                  <w:marBottom w:val="0"/>
                  <w:divBdr>
                    <w:top w:val="none" w:sz="0" w:space="0" w:color="auto"/>
                    <w:left w:val="none" w:sz="0" w:space="0" w:color="auto"/>
                    <w:bottom w:val="none" w:sz="0" w:space="0" w:color="auto"/>
                    <w:right w:val="none" w:sz="0" w:space="0" w:color="auto"/>
                  </w:divBdr>
                  <w:divsChild>
                    <w:div w:id="123274000">
                      <w:marLeft w:val="0"/>
                      <w:marRight w:val="0"/>
                      <w:marTop w:val="120"/>
                      <w:marBottom w:val="0"/>
                      <w:divBdr>
                        <w:top w:val="none" w:sz="0" w:space="0" w:color="auto"/>
                        <w:left w:val="none" w:sz="0" w:space="0" w:color="auto"/>
                        <w:bottom w:val="none" w:sz="0" w:space="0" w:color="auto"/>
                        <w:right w:val="none" w:sz="0" w:space="0" w:color="auto"/>
                      </w:divBdr>
                    </w:div>
                    <w:div w:id="222525147">
                      <w:marLeft w:val="0"/>
                      <w:marRight w:val="0"/>
                      <w:marTop w:val="0"/>
                      <w:marBottom w:val="0"/>
                      <w:divBdr>
                        <w:top w:val="none" w:sz="0" w:space="0" w:color="auto"/>
                        <w:left w:val="none" w:sz="0" w:space="0" w:color="auto"/>
                        <w:bottom w:val="none" w:sz="0" w:space="0" w:color="auto"/>
                        <w:right w:val="none" w:sz="0" w:space="0" w:color="auto"/>
                      </w:divBdr>
                    </w:div>
                  </w:divsChild>
                </w:div>
                <w:div w:id="839152394">
                  <w:marLeft w:val="0"/>
                  <w:marRight w:val="0"/>
                  <w:marTop w:val="0"/>
                  <w:marBottom w:val="0"/>
                  <w:divBdr>
                    <w:top w:val="none" w:sz="0" w:space="0" w:color="auto"/>
                    <w:left w:val="none" w:sz="0" w:space="0" w:color="auto"/>
                    <w:bottom w:val="none" w:sz="0" w:space="0" w:color="auto"/>
                    <w:right w:val="none" w:sz="0" w:space="0" w:color="auto"/>
                  </w:divBdr>
                  <w:divsChild>
                    <w:div w:id="1754617718">
                      <w:marLeft w:val="0"/>
                      <w:marRight w:val="0"/>
                      <w:marTop w:val="120"/>
                      <w:marBottom w:val="0"/>
                      <w:divBdr>
                        <w:top w:val="none" w:sz="0" w:space="0" w:color="auto"/>
                        <w:left w:val="none" w:sz="0" w:space="0" w:color="auto"/>
                        <w:bottom w:val="none" w:sz="0" w:space="0" w:color="auto"/>
                        <w:right w:val="none" w:sz="0" w:space="0" w:color="auto"/>
                      </w:divBdr>
                    </w:div>
                    <w:div w:id="1933314507">
                      <w:marLeft w:val="0"/>
                      <w:marRight w:val="0"/>
                      <w:marTop w:val="0"/>
                      <w:marBottom w:val="0"/>
                      <w:divBdr>
                        <w:top w:val="none" w:sz="0" w:space="0" w:color="auto"/>
                        <w:left w:val="none" w:sz="0" w:space="0" w:color="auto"/>
                        <w:bottom w:val="none" w:sz="0" w:space="0" w:color="auto"/>
                        <w:right w:val="none" w:sz="0" w:space="0" w:color="auto"/>
                      </w:divBdr>
                    </w:div>
                  </w:divsChild>
                </w:div>
                <w:div w:id="44649181">
                  <w:marLeft w:val="0"/>
                  <w:marRight w:val="0"/>
                  <w:marTop w:val="0"/>
                  <w:marBottom w:val="0"/>
                  <w:divBdr>
                    <w:top w:val="none" w:sz="0" w:space="0" w:color="auto"/>
                    <w:left w:val="none" w:sz="0" w:space="0" w:color="auto"/>
                    <w:bottom w:val="none" w:sz="0" w:space="0" w:color="auto"/>
                    <w:right w:val="none" w:sz="0" w:space="0" w:color="auto"/>
                  </w:divBdr>
                  <w:divsChild>
                    <w:div w:id="1804883763">
                      <w:marLeft w:val="0"/>
                      <w:marRight w:val="0"/>
                      <w:marTop w:val="120"/>
                      <w:marBottom w:val="0"/>
                      <w:divBdr>
                        <w:top w:val="none" w:sz="0" w:space="0" w:color="auto"/>
                        <w:left w:val="none" w:sz="0" w:space="0" w:color="auto"/>
                        <w:bottom w:val="none" w:sz="0" w:space="0" w:color="auto"/>
                        <w:right w:val="none" w:sz="0" w:space="0" w:color="auto"/>
                      </w:divBdr>
                    </w:div>
                    <w:div w:id="17031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4269">
          <w:marLeft w:val="0"/>
          <w:marRight w:val="0"/>
          <w:marTop w:val="0"/>
          <w:marBottom w:val="0"/>
          <w:divBdr>
            <w:top w:val="none" w:sz="0" w:space="0" w:color="auto"/>
            <w:left w:val="none" w:sz="0" w:space="0" w:color="auto"/>
            <w:bottom w:val="none" w:sz="0" w:space="0" w:color="auto"/>
            <w:right w:val="none" w:sz="0" w:space="0" w:color="auto"/>
          </w:divBdr>
          <w:divsChild>
            <w:div w:id="608665397">
              <w:marLeft w:val="0"/>
              <w:marRight w:val="0"/>
              <w:marTop w:val="0"/>
              <w:marBottom w:val="0"/>
              <w:divBdr>
                <w:top w:val="none" w:sz="0" w:space="0" w:color="auto"/>
                <w:left w:val="none" w:sz="0" w:space="0" w:color="auto"/>
                <w:bottom w:val="none" w:sz="0" w:space="0" w:color="auto"/>
                <w:right w:val="none" w:sz="0" w:space="0" w:color="auto"/>
              </w:divBdr>
            </w:div>
          </w:divsChild>
        </w:div>
        <w:div w:id="244413664">
          <w:marLeft w:val="0"/>
          <w:marRight w:val="0"/>
          <w:marTop w:val="0"/>
          <w:marBottom w:val="0"/>
          <w:divBdr>
            <w:top w:val="none" w:sz="0" w:space="0" w:color="auto"/>
            <w:left w:val="none" w:sz="0" w:space="0" w:color="auto"/>
            <w:bottom w:val="none" w:sz="0" w:space="0" w:color="auto"/>
            <w:right w:val="none" w:sz="0" w:space="0" w:color="auto"/>
          </w:divBdr>
          <w:divsChild>
            <w:div w:id="840655903">
              <w:marLeft w:val="0"/>
              <w:marRight w:val="0"/>
              <w:marTop w:val="0"/>
              <w:marBottom w:val="0"/>
              <w:divBdr>
                <w:top w:val="none" w:sz="0" w:space="0" w:color="auto"/>
                <w:left w:val="none" w:sz="0" w:space="0" w:color="auto"/>
                <w:bottom w:val="none" w:sz="0" w:space="0" w:color="auto"/>
                <w:right w:val="none" w:sz="0" w:space="0" w:color="auto"/>
              </w:divBdr>
            </w:div>
          </w:divsChild>
        </w:div>
        <w:div w:id="894924327">
          <w:marLeft w:val="0"/>
          <w:marRight w:val="0"/>
          <w:marTop w:val="0"/>
          <w:marBottom w:val="0"/>
          <w:divBdr>
            <w:top w:val="none" w:sz="0" w:space="0" w:color="auto"/>
            <w:left w:val="none" w:sz="0" w:space="0" w:color="auto"/>
            <w:bottom w:val="none" w:sz="0" w:space="0" w:color="auto"/>
            <w:right w:val="none" w:sz="0" w:space="0" w:color="auto"/>
          </w:divBdr>
          <w:divsChild>
            <w:div w:id="1359162679">
              <w:marLeft w:val="0"/>
              <w:marRight w:val="0"/>
              <w:marTop w:val="0"/>
              <w:marBottom w:val="0"/>
              <w:divBdr>
                <w:top w:val="none" w:sz="0" w:space="0" w:color="auto"/>
                <w:left w:val="none" w:sz="0" w:space="0" w:color="auto"/>
                <w:bottom w:val="none" w:sz="0" w:space="0" w:color="auto"/>
                <w:right w:val="none" w:sz="0" w:space="0" w:color="auto"/>
              </w:divBdr>
            </w:div>
          </w:divsChild>
        </w:div>
        <w:div w:id="1101295867">
          <w:marLeft w:val="0"/>
          <w:marRight w:val="0"/>
          <w:marTop w:val="0"/>
          <w:marBottom w:val="0"/>
          <w:divBdr>
            <w:top w:val="none" w:sz="0" w:space="0" w:color="auto"/>
            <w:left w:val="none" w:sz="0" w:space="0" w:color="auto"/>
            <w:bottom w:val="none" w:sz="0" w:space="0" w:color="auto"/>
            <w:right w:val="none" w:sz="0" w:space="0" w:color="auto"/>
          </w:divBdr>
          <w:divsChild>
            <w:div w:id="1412578777">
              <w:marLeft w:val="0"/>
              <w:marRight w:val="0"/>
              <w:marTop w:val="0"/>
              <w:marBottom w:val="0"/>
              <w:divBdr>
                <w:top w:val="none" w:sz="0" w:space="0" w:color="auto"/>
                <w:left w:val="none" w:sz="0" w:space="0" w:color="auto"/>
                <w:bottom w:val="none" w:sz="0" w:space="0" w:color="auto"/>
                <w:right w:val="none" w:sz="0" w:space="0" w:color="auto"/>
              </w:divBdr>
            </w:div>
          </w:divsChild>
        </w:div>
        <w:div w:id="1251621856">
          <w:marLeft w:val="0"/>
          <w:marRight w:val="0"/>
          <w:marTop w:val="0"/>
          <w:marBottom w:val="0"/>
          <w:divBdr>
            <w:top w:val="none" w:sz="0" w:space="0" w:color="auto"/>
            <w:left w:val="none" w:sz="0" w:space="0" w:color="auto"/>
            <w:bottom w:val="none" w:sz="0" w:space="0" w:color="auto"/>
            <w:right w:val="none" w:sz="0" w:space="0" w:color="auto"/>
          </w:divBdr>
          <w:divsChild>
            <w:div w:id="1672030146">
              <w:marLeft w:val="0"/>
              <w:marRight w:val="0"/>
              <w:marTop w:val="0"/>
              <w:marBottom w:val="0"/>
              <w:divBdr>
                <w:top w:val="none" w:sz="0" w:space="0" w:color="auto"/>
                <w:left w:val="none" w:sz="0" w:space="0" w:color="auto"/>
                <w:bottom w:val="none" w:sz="0" w:space="0" w:color="auto"/>
                <w:right w:val="none" w:sz="0" w:space="0" w:color="auto"/>
              </w:divBdr>
              <w:divsChild>
                <w:div w:id="736560027">
                  <w:marLeft w:val="0"/>
                  <w:marRight w:val="0"/>
                  <w:marTop w:val="0"/>
                  <w:marBottom w:val="0"/>
                  <w:divBdr>
                    <w:top w:val="none" w:sz="0" w:space="0" w:color="auto"/>
                    <w:left w:val="none" w:sz="0" w:space="0" w:color="auto"/>
                    <w:bottom w:val="none" w:sz="0" w:space="0" w:color="auto"/>
                    <w:right w:val="none" w:sz="0" w:space="0" w:color="auto"/>
                  </w:divBdr>
                  <w:divsChild>
                    <w:div w:id="2104375123">
                      <w:marLeft w:val="0"/>
                      <w:marRight w:val="0"/>
                      <w:marTop w:val="120"/>
                      <w:marBottom w:val="0"/>
                      <w:divBdr>
                        <w:top w:val="none" w:sz="0" w:space="0" w:color="auto"/>
                        <w:left w:val="none" w:sz="0" w:space="0" w:color="auto"/>
                        <w:bottom w:val="none" w:sz="0" w:space="0" w:color="auto"/>
                        <w:right w:val="none" w:sz="0" w:space="0" w:color="auto"/>
                      </w:divBdr>
                    </w:div>
                    <w:div w:id="264117688">
                      <w:marLeft w:val="0"/>
                      <w:marRight w:val="0"/>
                      <w:marTop w:val="0"/>
                      <w:marBottom w:val="0"/>
                      <w:divBdr>
                        <w:top w:val="none" w:sz="0" w:space="0" w:color="auto"/>
                        <w:left w:val="none" w:sz="0" w:space="0" w:color="auto"/>
                        <w:bottom w:val="none" w:sz="0" w:space="0" w:color="auto"/>
                        <w:right w:val="none" w:sz="0" w:space="0" w:color="auto"/>
                      </w:divBdr>
                    </w:div>
                  </w:divsChild>
                </w:div>
                <w:div w:id="1750078618">
                  <w:marLeft w:val="0"/>
                  <w:marRight w:val="0"/>
                  <w:marTop w:val="0"/>
                  <w:marBottom w:val="0"/>
                  <w:divBdr>
                    <w:top w:val="none" w:sz="0" w:space="0" w:color="auto"/>
                    <w:left w:val="none" w:sz="0" w:space="0" w:color="auto"/>
                    <w:bottom w:val="none" w:sz="0" w:space="0" w:color="auto"/>
                    <w:right w:val="none" w:sz="0" w:space="0" w:color="auto"/>
                  </w:divBdr>
                  <w:divsChild>
                    <w:div w:id="1399937035">
                      <w:marLeft w:val="0"/>
                      <w:marRight w:val="0"/>
                      <w:marTop w:val="120"/>
                      <w:marBottom w:val="0"/>
                      <w:divBdr>
                        <w:top w:val="none" w:sz="0" w:space="0" w:color="auto"/>
                        <w:left w:val="none" w:sz="0" w:space="0" w:color="auto"/>
                        <w:bottom w:val="none" w:sz="0" w:space="0" w:color="auto"/>
                        <w:right w:val="none" w:sz="0" w:space="0" w:color="auto"/>
                      </w:divBdr>
                    </w:div>
                    <w:div w:id="12691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36204">
          <w:marLeft w:val="0"/>
          <w:marRight w:val="0"/>
          <w:marTop w:val="0"/>
          <w:marBottom w:val="0"/>
          <w:divBdr>
            <w:top w:val="none" w:sz="0" w:space="0" w:color="auto"/>
            <w:left w:val="none" w:sz="0" w:space="0" w:color="auto"/>
            <w:bottom w:val="none" w:sz="0" w:space="0" w:color="auto"/>
            <w:right w:val="none" w:sz="0" w:space="0" w:color="auto"/>
          </w:divBdr>
          <w:divsChild>
            <w:div w:id="1858999201">
              <w:marLeft w:val="0"/>
              <w:marRight w:val="0"/>
              <w:marTop w:val="0"/>
              <w:marBottom w:val="0"/>
              <w:divBdr>
                <w:top w:val="none" w:sz="0" w:space="0" w:color="auto"/>
                <w:left w:val="none" w:sz="0" w:space="0" w:color="auto"/>
                <w:bottom w:val="none" w:sz="0" w:space="0" w:color="auto"/>
                <w:right w:val="none" w:sz="0" w:space="0" w:color="auto"/>
              </w:divBdr>
              <w:divsChild>
                <w:div w:id="1142693056">
                  <w:marLeft w:val="0"/>
                  <w:marRight w:val="0"/>
                  <w:marTop w:val="0"/>
                  <w:marBottom w:val="0"/>
                  <w:divBdr>
                    <w:top w:val="none" w:sz="0" w:space="0" w:color="auto"/>
                    <w:left w:val="none" w:sz="0" w:space="0" w:color="auto"/>
                    <w:bottom w:val="none" w:sz="0" w:space="0" w:color="auto"/>
                    <w:right w:val="none" w:sz="0" w:space="0" w:color="auto"/>
                  </w:divBdr>
                  <w:divsChild>
                    <w:div w:id="689840223">
                      <w:marLeft w:val="0"/>
                      <w:marRight w:val="0"/>
                      <w:marTop w:val="120"/>
                      <w:marBottom w:val="0"/>
                      <w:divBdr>
                        <w:top w:val="none" w:sz="0" w:space="0" w:color="auto"/>
                        <w:left w:val="none" w:sz="0" w:space="0" w:color="auto"/>
                        <w:bottom w:val="none" w:sz="0" w:space="0" w:color="auto"/>
                        <w:right w:val="none" w:sz="0" w:space="0" w:color="auto"/>
                      </w:divBdr>
                    </w:div>
                    <w:div w:id="1842159313">
                      <w:marLeft w:val="0"/>
                      <w:marRight w:val="0"/>
                      <w:marTop w:val="0"/>
                      <w:marBottom w:val="0"/>
                      <w:divBdr>
                        <w:top w:val="none" w:sz="0" w:space="0" w:color="auto"/>
                        <w:left w:val="none" w:sz="0" w:space="0" w:color="auto"/>
                        <w:bottom w:val="none" w:sz="0" w:space="0" w:color="auto"/>
                        <w:right w:val="none" w:sz="0" w:space="0" w:color="auto"/>
                      </w:divBdr>
                    </w:div>
                  </w:divsChild>
                </w:div>
                <w:div w:id="1142234804">
                  <w:marLeft w:val="0"/>
                  <w:marRight w:val="0"/>
                  <w:marTop w:val="0"/>
                  <w:marBottom w:val="0"/>
                  <w:divBdr>
                    <w:top w:val="none" w:sz="0" w:space="0" w:color="auto"/>
                    <w:left w:val="none" w:sz="0" w:space="0" w:color="auto"/>
                    <w:bottom w:val="none" w:sz="0" w:space="0" w:color="auto"/>
                    <w:right w:val="none" w:sz="0" w:space="0" w:color="auto"/>
                  </w:divBdr>
                  <w:divsChild>
                    <w:div w:id="222836293">
                      <w:marLeft w:val="0"/>
                      <w:marRight w:val="0"/>
                      <w:marTop w:val="120"/>
                      <w:marBottom w:val="0"/>
                      <w:divBdr>
                        <w:top w:val="none" w:sz="0" w:space="0" w:color="auto"/>
                        <w:left w:val="none" w:sz="0" w:space="0" w:color="auto"/>
                        <w:bottom w:val="none" w:sz="0" w:space="0" w:color="auto"/>
                        <w:right w:val="none" w:sz="0" w:space="0" w:color="auto"/>
                      </w:divBdr>
                    </w:div>
                    <w:div w:id="2085059267">
                      <w:marLeft w:val="0"/>
                      <w:marRight w:val="0"/>
                      <w:marTop w:val="0"/>
                      <w:marBottom w:val="0"/>
                      <w:divBdr>
                        <w:top w:val="none" w:sz="0" w:space="0" w:color="auto"/>
                        <w:left w:val="none" w:sz="0" w:space="0" w:color="auto"/>
                        <w:bottom w:val="none" w:sz="0" w:space="0" w:color="auto"/>
                        <w:right w:val="none" w:sz="0" w:space="0" w:color="auto"/>
                      </w:divBdr>
                    </w:div>
                  </w:divsChild>
                </w:div>
                <w:div w:id="1571765198">
                  <w:marLeft w:val="0"/>
                  <w:marRight w:val="0"/>
                  <w:marTop w:val="0"/>
                  <w:marBottom w:val="0"/>
                  <w:divBdr>
                    <w:top w:val="none" w:sz="0" w:space="0" w:color="auto"/>
                    <w:left w:val="none" w:sz="0" w:space="0" w:color="auto"/>
                    <w:bottom w:val="none" w:sz="0" w:space="0" w:color="auto"/>
                    <w:right w:val="none" w:sz="0" w:space="0" w:color="auto"/>
                  </w:divBdr>
                  <w:divsChild>
                    <w:div w:id="2057195041">
                      <w:marLeft w:val="0"/>
                      <w:marRight w:val="0"/>
                      <w:marTop w:val="120"/>
                      <w:marBottom w:val="0"/>
                      <w:divBdr>
                        <w:top w:val="none" w:sz="0" w:space="0" w:color="auto"/>
                        <w:left w:val="none" w:sz="0" w:space="0" w:color="auto"/>
                        <w:bottom w:val="none" w:sz="0" w:space="0" w:color="auto"/>
                        <w:right w:val="none" w:sz="0" w:space="0" w:color="auto"/>
                      </w:divBdr>
                    </w:div>
                    <w:div w:id="1817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3176">
          <w:marLeft w:val="0"/>
          <w:marRight w:val="0"/>
          <w:marTop w:val="0"/>
          <w:marBottom w:val="0"/>
          <w:divBdr>
            <w:top w:val="none" w:sz="0" w:space="0" w:color="auto"/>
            <w:left w:val="none" w:sz="0" w:space="0" w:color="auto"/>
            <w:bottom w:val="none" w:sz="0" w:space="0" w:color="auto"/>
            <w:right w:val="none" w:sz="0" w:space="0" w:color="auto"/>
          </w:divBdr>
          <w:divsChild>
            <w:div w:id="2032685552">
              <w:marLeft w:val="0"/>
              <w:marRight w:val="0"/>
              <w:marTop w:val="0"/>
              <w:marBottom w:val="0"/>
              <w:divBdr>
                <w:top w:val="none" w:sz="0" w:space="0" w:color="auto"/>
                <w:left w:val="none" w:sz="0" w:space="0" w:color="auto"/>
                <w:bottom w:val="none" w:sz="0" w:space="0" w:color="auto"/>
                <w:right w:val="none" w:sz="0" w:space="0" w:color="auto"/>
              </w:divBdr>
            </w:div>
          </w:divsChild>
        </w:div>
        <w:div w:id="967013476">
          <w:marLeft w:val="0"/>
          <w:marRight w:val="0"/>
          <w:marTop w:val="0"/>
          <w:marBottom w:val="0"/>
          <w:divBdr>
            <w:top w:val="none" w:sz="0" w:space="0" w:color="auto"/>
            <w:left w:val="none" w:sz="0" w:space="0" w:color="auto"/>
            <w:bottom w:val="none" w:sz="0" w:space="0" w:color="auto"/>
            <w:right w:val="none" w:sz="0" w:space="0" w:color="auto"/>
          </w:divBdr>
          <w:divsChild>
            <w:div w:id="901985031">
              <w:marLeft w:val="0"/>
              <w:marRight w:val="0"/>
              <w:marTop w:val="0"/>
              <w:marBottom w:val="0"/>
              <w:divBdr>
                <w:top w:val="none" w:sz="0" w:space="0" w:color="auto"/>
                <w:left w:val="none" w:sz="0" w:space="0" w:color="auto"/>
                <w:bottom w:val="none" w:sz="0" w:space="0" w:color="auto"/>
                <w:right w:val="none" w:sz="0" w:space="0" w:color="auto"/>
              </w:divBdr>
            </w:div>
          </w:divsChild>
        </w:div>
        <w:div w:id="886375048">
          <w:marLeft w:val="0"/>
          <w:marRight w:val="0"/>
          <w:marTop w:val="0"/>
          <w:marBottom w:val="0"/>
          <w:divBdr>
            <w:top w:val="none" w:sz="0" w:space="0" w:color="auto"/>
            <w:left w:val="none" w:sz="0" w:space="0" w:color="auto"/>
            <w:bottom w:val="none" w:sz="0" w:space="0" w:color="auto"/>
            <w:right w:val="none" w:sz="0" w:space="0" w:color="auto"/>
          </w:divBdr>
          <w:divsChild>
            <w:div w:id="115318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08159">
      <w:bodyDiv w:val="1"/>
      <w:marLeft w:val="0"/>
      <w:marRight w:val="0"/>
      <w:marTop w:val="0"/>
      <w:marBottom w:val="0"/>
      <w:divBdr>
        <w:top w:val="none" w:sz="0" w:space="0" w:color="auto"/>
        <w:left w:val="none" w:sz="0" w:space="0" w:color="auto"/>
        <w:bottom w:val="none" w:sz="0" w:space="0" w:color="auto"/>
        <w:right w:val="none" w:sz="0" w:space="0" w:color="auto"/>
      </w:divBdr>
      <w:divsChild>
        <w:div w:id="403530917">
          <w:marLeft w:val="0"/>
          <w:marRight w:val="0"/>
          <w:marTop w:val="0"/>
          <w:marBottom w:val="0"/>
          <w:divBdr>
            <w:top w:val="none" w:sz="0" w:space="0" w:color="auto"/>
            <w:left w:val="none" w:sz="0" w:space="0" w:color="auto"/>
            <w:bottom w:val="none" w:sz="0" w:space="0" w:color="auto"/>
            <w:right w:val="none" w:sz="0" w:space="0" w:color="auto"/>
          </w:divBdr>
          <w:divsChild>
            <w:div w:id="1879925807">
              <w:marLeft w:val="0"/>
              <w:marRight w:val="0"/>
              <w:marTop w:val="0"/>
              <w:marBottom w:val="0"/>
              <w:divBdr>
                <w:top w:val="none" w:sz="0" w:space="0" w:color="auto"/>
                <w:left w:val="none" w:sz="0" w:space="0" w:color="auto"/>
                <w:bottom w:val="none" w:sz="0" w:space="0" w:color="auto"/>
                <w:right w:val="none" w:sz="0" w:space="0" w:color="auto"/>
              </w:divBdr>
              <w:divsChild>
                <w:div w:id="990711894">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120"/>
                      <w:marBottom w:val="0"/>
                      <w:divBdr>
                        <w:top w:val="none" w:sz="0" w:space="0" w:color="auto"/>
                        <w:left w:val="none" w:sz="0" w:space="0" w:color="auto"/>
                        <w:bottom w:val="none" w:sz="0" w:space="0" w:color="auto"/>
                        <w:right w:val="none" w:sz="0" w:space="0" w:color="auto"/>
                      </w:divBdr>
                    </w:div>
                    <w:div w:id="1378310005">
                      <w:marLeft w:val="0"/>
                      <w:marRight w:val="0"/>
                      <w:marTop w:val="0"/>
                      <w:marBottom w:val="0"/>
                      <w:divBdr>
                        <w:top w:val="none" w:sz="0" w:space="0" w:color="auto"/>
                        <w:left w:val="none" w:sz="0" w:space="0" w:color="auto"/>
                        <w:bottom w:val="none" w:sz="0" w:space="0" w:color="auto"/>
                        <w:right w:val="none" w:sz="0" w:space="0" w:color="auto"/>
                      </w:divBdr>
                    </w:div>
                  </w:divsChild>
                </w:div>
                <w:div w:id="605892345">
                  <w:marLeft w:val="0"/>
                  <w:marRight w:val="0"/>
                  <w:marTop w:val="0"/>
                  <w:marBottom w:val="0"/>
                  <w:divBdr>
                    <w:top w:val="none" w:sz="0" w:space="0" w:color="auto"/>
                    <w:left w:val="none" w:sz="0" w:space="0" w:color="auto"/>
                    <w:bottom w:val="none" w:sz="0" w:space="0" w:color="auto"/>
                    <w:right w:val="none" w:sz="0" w:space="0" w:color="auto"/>
                  </w:divBdr>
                  <w:divsChild>
                    <w:div w:id="1201241845">
                      <w:marLeft w:val="0"/>
                      <w:marRight w:val="0"/>
                      <w:marTop w:val="120"/>
                      <w:marBottom w:val="0"/>
                      <w:divBdr>
                        <w:top w:val="none" w:sz="0" w:space="0" w:color="auto"/>
                        <w:left w:val="none" w:sz="0" w:space="0" w:color="auto"/>
                        <w:bottom w:val="none" w:sz="0" w:space="0" w:color="auto"/>
                        <w:right w:val="none" w:sz="0" w:space="0" w:color="auto"/>
                      </w:divBdr>
                    </w:div>
                    <w:div w:id="818351302">
                      <w:marLeft w:val="0"/>
                      <w:marRight w:val="0"/>
                      <w:marTop w:val="0"/>
                      <w:marBottom w:val="0"/>
                      <w:divBdr>
                        <w:top w:val="none" w:sz="0" w:space="0" w:color="auto"/>
                        <w:left w:val="none" w:sz="0" w:space="0" w:color="auto"/>
                        <w:bottom w:val="none" w:sz="0" w:space="0" w:color="auto"/>
                        <w:right w:val="none" w:sz="0" w:space="0" w:color="auto"/>
                      </w:divBdr>
                    </w:div>
                  </w:divsChild>
                </w:div>
                <w:div w:id="454251796">
                  <w:marLeft w:val="0"/>
                  <w:marRight w:val="0"/>
                  <w:marTop w:val="0"/>
                  <w:marBottom w:val="0"/>
                  <w:divBdr>
                    <w:top w:val="none" w:sz="0" w:space="0" w:color="auto"/>
                    <w:left w:val="none" w:sz="0" w:space="0" w:color="auto"/>
                    <w:bottom w:val="none" w:sz="0" w:space="0" w:color="auto"/>
                    <w:right w:val="none" w:sz="0" w:space="0" w:color="auto"/>
                  </w:divBdr>
                  <w:divsChild>
                    <w:div w:id="193542757">
                      <w:marLeft w:val="0"/>
                      <w:marRight w:val="0"/>
                      <w:marTop w:val="120"/>
                      <w:marBottom w:val="0"/>
                      <w:divBdr>
                        <w:top w:val="none" w:sz="0" w:space="0" w:color="auto"/>
                        <w:left w:val="none" w:sz="0" w:space="0" w:color="auto"/>
                        <w:bottom w:val="none" w:sz="0" w:space="0" w:color="auto"/>
                        <w:right w:val="none" w:sz="0" w:space="0" w:color="auto"/>
                      </w:divBdr>
                    </w:div>
                    <w:div w:id="14059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34127">
          <w:marLeft w:val="0"/>
          <w:marRight w:val="0"/>
          <w:marTop w:val="0"/>
          <w:marBottom w:val="0"/>
          <w:divBdr>
            <w:top w:val="none" w:sz="0" w:space="0" w:color="auto"/>
            <w:left w:val="none" w:sz="0" w:space="0" w:color="auto"/>
            <w:bottom w:val="none" w:sz="0" w:space="0" w:color="auto"/>
            <w:right w:val="none" w:sz="0" w:space="0" w:color="auto"/>
          </w:divBdr>
          <w:divsChild>
            <w:div w:id="767391236">
              <w:marLeft w:val="0"/>
              <w:marRight w:val="0"/>
              <w:marTop w:val="0"/>
              <w:marBottom w:val="0"/>
              <w:divBdr>
                <w:top w:val="none" w:sz="0" w:space="0" w:color="auto"/>
                <w:left w:val="none" w:sz="0" w:space="0" w:color="auto"/>
                <w:bottom w:val="none" w:sz="0" w:space="0" w:color="auto"/>
                <w:right w:val="none" w:sz="0" w:space="0" w:color="auto"/>
              </w:divBdr>
            </w:div>
          </w:divsChild>
        </w:div>
        <w:div w:id="233665826">
          <w:marLeft w:val="0"/>
          <w:marRight w:val="0"/>
          <w:marTop w:val="0"/>
          <w:marBottom w:val="0"/>
          <w:divBdr>
            <w:top w:val="none" w:sz="0" w:space="0" w:color="auto"/>
            <w:left w:val="none" w:sz="0" w:space="0" w:color="auto"/>
            <w:bottom w:val="none" w:sz="0" w:space="0" w:color="auto"/>
            <w:right w:val="none" w:sz="0" w:space="0" w:color="auto"/>
          </w:divBdr>
          <w:divsChild>
            <w:div w:id="1383939013">
              <w:marLeft w:val="0"/>
              <w:marRight w:val="0"/>
              <w:marTop w:val="0"/>
              <w:marBottom w:val="0"/>
              <w:divBdr>
                <w:top w:val="none" w:sz="0" w:space="0" w:color="auto"/>
                <w:left w:val="none" w:sz="0" w:space="0" w:color="auto"/>
                <w:bottom w:val="none" w:sz="0" w:space="0" w:color="auto"/>
                <w:right w:val="none" w:sz="0" w:space="0" w:color="auto"/>
              </w:divBdr>
            </w:div>
          </w:divsChild>
        </w:div>
        <w:div w:id="1242908249">
          <w:marLeft w:val="0"/>
          <w:marRight w:val="0"/>
          <w:marTop w:val="0"/>
          <w:marBottom w:val="0"/>
          <w:divBdr>
            <w:top w:val="none" w:sz="0" w:space="0" w:color="auto"/>
            <w:left w:val="none" w:sz="0" w:space="0" w:color="auto"/>
            <w:bottom w:val="none" w:sz="0" w:space="0" w:color="auto"/>
            <w:right w:val="none" w:sz="0" w:space="0" w:color="auto"/>
          </w:divBdr>
          <w:divsChild>
            <w:div w:id="1387342156">
              <w:marLeft w:val="0"/>
              <w:marRight w:val="0"/>
              <w:marTop w:val="0"/>
              <w:marBottom w:val="0"/>
              <w:divBdr>
                <w:top w:val="none" w:sz="0" w:space="0" w:color="auto"/>
                <w:left w:val="none" w:sz="0" w:space="0" w:color="auto"/>
                <w:bottom w:val="none" w:sz="0" w:space="0" w:color="auto"/>
                <w:right w:val="none" w:sz="0" w:space="0" w:color="auto"/>
              </w:divBdr>
            </w:div>
          </w:divsChild>
        </w:div>
        <w:div w:id="873880824">
          <w:marLeft w:val="0"/>
          <w:marRight w:val="0"/>
          <w:marTop w:val="0"/>
          <w:marBottom w:val="0"/>
          <w:divBdr>
            <w:top w:val="none" w:sz="0" w:space="0" w:color="auto"/>
            <w:left w:val="none" w:sz="0" w:space="0" w:color="auto"/>
            <w:bottom w:val="none" w:sz="0" w:space="0" w:color="auto"/>
            <w:right w:val="none" w:sz="0" w:space="0" w:color="auto"/>
          </w:divBdr>
          <w:divsChild>
            <w:div w:id="1890071163">
              <w:marLeft w:val="0"/>
              <w:marRight w:val="0"/>
              <w:marTop w:val="0"/>
              <w:marBottom w:val="0"/>
              <w:divBdr>
                <w:top w:val="none" w:sz="0" w:space="0" w:color="auto"/>
                <w:left w:val="none" w:sz="0" w:space="0" w:color="auto"/>
                <w:bottom w:val="none" w:sz="0" w:space="0" w:color="auto"/>
                <w:right w:val="none" w:sz="0" w:space="0" w:color="auto"/>
              </w:divBdr>
            </w:div>
          </w:divsChild>
        </w:div>
        <w:div w:id="423961373">
          <w:marLeft w:val="0"/>
          <w:marRight w:val="0"/>
          <w:marTop w:val="0"/>
          <w:marBottom w:val="0"/>
          <w:divBdr>
            <w:top w:val="none" w:sz="0" w:space="0" w:color="auto"/>
            <w:left w:val="none" w:sz="0" w:space="0" w:color="auto"/>
            <w:bottom w:val="none" w:sz="0" w:space="0" w:color="auto"/>
            <w:right w:val="none" w:sz="0" w:space="0" w:color="auto"/>
          </w:divBdr>
          <w:divsChild>
            <w:div w:id="206456567">
              <w:marLeft w:val="0"/>
              <w:marRight w:val="0"/>
              <w:marTop w:val="0"/>
              <w:marBottom w:val="0"/>
              <w:divBdr>
                <w:top w:val="none" w:sz="0" w:space="0" w:color="auto"/>
                <w:left w:val="none" w:sz="0" w:space="0" w:color="auto"/>
                <w:bottom w:val="none" w:sz="0" w:space="0" w:color="auto"/>
                <w:right w:val="none" w:sz="0" w:space="0" w:color="auto"/>
              </w:divBdr>
              <w:divsChild>
                <w:div w:id="35592348">
                  <w:marLeft w:val="0"/>
                  <w:marRight w:val="0"/>
                  <w:marTop w:val="0"/>
                  <w:marBottom w:val="0"/>
                  <w:divBdr>
                    <w:top w:val="none" w:sz="0" w:space="0" w:color="auto"/>
                    <w:left w:val="none" w:sz="0" w:space="0" w:color="auto"/>
                    <w:bottom w:val="none" w:sz="0" w:space="0" w:color="auto"/>
                    <w:right w:val="none" w:sz="0" w:space="0" w:color="auto"/>
                  </w:divBdr>
                  <w:divsChild>
                    <w:div w:id="1124884128">
                      <w:marLeft w:val="0"/>
                      <w:marRight w:val="0"/>
                      <w:marTop w:val="120"/>
                      <w:marBottom w:val="0"/>
                      <w:divBdr>
                        <w:top w:val="none" w:sz="0" w:space="0" w:color="auto"/>
                        <w:left w:val="none" w:sz="0" w:space="0" w:color="auto"/>
                        <w:bottom w:val="none" w:sz="0" w:space="0" w:color="auto"/>
                        <w:right w:val="none" w:sz="0" w:space="0" w:color="auto"/>
                      </w:divBdr>
                    </w:div>
                    <w:div w:id="1428387251">
                      <w:marLeft w:val="0"/>
                      <w:marRight w:val="0"/>
                      <w:marTop w:val="0"/>
                      <w:marBottom w:val="0"/>
                      <w:divBdr>
                        <w:top w:val="none" w:sz="0" w:space="0" w:color="auto"/>
                        <w:left w:val="none" w:sz="0" w:space="0" w:color="auto"/>
                        <w:bottom w:val="none" w:sz="0" w:space="0" w:color="auto"/>
                        <w:right w:val="none" w:sz="0" w:space="0" w:color="auto"/>
                      </w:divBdr>
                    </w:div>
                  </w:divsChild>
                </w:div>
                <w:div w:id="1904752941">
                  <w:marLeft w:val="0"/>
                  <w:marRight w:val="0"/>
                  <w:marTop w:val="0"/>
                  <w:marBottom w:val="0"/>
                  <w:divBdr>
                    <w:top w:val="none" w:sz="0" w:space="0" w:color="auto"/>
                    <w:left w:val="none" w:sz="0" w:space="0" w:color="auto"/>
                    <w:bottom w:val="none" w:sz="0" w:space="0" w:color="auto"/>
                    <w:right w:val="none" w:sz="0" w:space="0" w:color="auto"/>
                  </w:divBdr>
                  <w:divsChild>
                    <w:div w:id="399835147">
                      <w:marLeft w:val="0"/>
                      <w:marRight w:val="0"/>
                      <w:marTop w:val="120"/>
                      <w:marBottom w:val="0"/>
                      <w:divBdr>
                        <w:top w:val="none" w:sz="0" w:space="0" w:color="auto"/>
                        <w:left w:val="none" w:sz="0" w:space="0" w:color="auto"/>
                        <w:bottom w:val="none" w:sz="0" w:space="0" w:color="auto"/>
                        <w:right w:val="none" w:sz="0" w:space="0" w:color="auto"/>
                      </w:divBdr>
                    </w:div>
                    <w:div w:id="6453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44754">
      <w:bodyDiv w:val="1"/>
      <w:marLeft w:val="0"/>
      <w:marRight w:val="0"/>
      <w:marTop w:val="0"/>
      <w:marBottom w:val="0"/>
      <w:divBdr>
        <w:top w:val="none" w:sz="0" w:space="0" w:color="auto"/>
        <w:left w:val="none" w:sz="0" w:space="0" w:color="auto"/>
        <w:bottom w:val="none" w:sz="0" w:space="0" w:color="auto"/>
        <w:right w:val="none" w:sz="0" w:space="0" w:color="auto"/>
      </w:divBdr>
      <w:divsChild>
        <w:div w:id="291640250">
          <w:marLeft w:val="0"/>
          <w:marRight w:val="0"/>
          <w:marTop w:val="0"/>
          <w:marBottom w:val="0"/>
          <w:divBdr>
            <w:top w:val="none" w:sz="0" w:space="0" w:color="auto"/>
            <w:left w:val="none" w:sz="0" w:space="0" w:color="auto"/>
            <w:bottom w:val="none" w:sz="0" w:space="0" w:color="auto"/>
            <w:right w:val="none" w:sz="0" w:space="0" w:color="auto"/>
          </w:divBdr>
        </w:div>
        <w:div w:id="2075466543">
          <w:marLeft w:val="0"/>
          <w:marRight w:val="0"/>
          <w:marTop w:val="0"/>
          <w:marBottom w:val="0"/>
          <w:divBdr>
            <w:top w:val="none" w:sz="0" w:space="0" w:color="auto"/>
            <w:left w:val="none" w:sz="0" w:space="0" w:color="auto"/>
            <w:bottom w:val="none" w:sz="0" w:space="0" w:color="auto"/>
            <w:right w:val="none" w:sz="0" w:space="0" w:color="auto"/>
          </w:divBdr>
          <w:divsChild>
            <w:div w:id="1242332172">
              <w:marLeft w:val="0"/>
              <w:marRight w:val="0"/>
              <w:marTop w:val="0"/>
              <w:marBottom w:val="0"/>
              <w:divBdr>
                <w:top w:val="none" w:sz="0" w:space="0" w:color="auto"/>
                <w:left w:val="none" w:sz="0" w:space="0" w:color="auto"/>
                <w:bottom w:val="none" w:sz="0" w:space="0" w:color="auto"/>
                <w:right w:val="none" w:sz="0" w:space="0" w:color="auto"/>
              </w:divBdr>
            </w:div>
          </w:divsChild>
        </w:div>
        <w:div w:id="275135481">
          <w:marLeft w:val="0"/>
          <w:marRight w:val="0"/>
          <w:marTop w:val="0"/>
          <w:marBottom w:val="0"/>
          <w:divBdr>
            <w:top w:val="none" w:sz="0" w:space="0" w:color="auto"/>
            <w:left w:val="none" w:sz="0" w:space="0" w:color="auto"/>
            <w:bottom w:val="none" w:sz="0" w:space="0" w:color="auto"/>
            <w:right w:val="none" w:sz="0" w:space="0" w:color="auto"/>
          </w:divBdr>
          <w:divsChild>
            <w:div w:id="1725257117">
              <w:marLeft w:val="0"/>
              <w:marRight w:val="0"/>
              <w:marTop w:val="0"/>
              <w:marBottom w:val="0"/>
              <w:divBdr>
                <w:top w:val="none" w:sz="0" w:space="0" w:color="auto"/>
                <w:left w:val="none" w:sz="0" w:space="0" w:color="auto"/>
                <w:bottom w:val="none" w:sz="0" w:space="0" w:color="auto"/>
                <w:right w:val="none" w:sz="0" w:space="0" w:color="auto"/>
              </w:divBdr>
            </w:div>
          </w:divsChild>
        </w:div>
        <w:div w:id="767578753">
          <w:marLeft w:val="0"/>
          <w:marRight w:val="0"/>
          <w:marTop w:val="0"/>
          <w:marBottom w:val="0"/>
          <w:divBdr>
            <w:top w:val="none" w:sz="0" w:space="0" w:color="auto"/>
            <w:left w:val="none" w:sz="0" w:space="0" w:color="auto"/>
            <w:bottom w:val="none" w:sz="0" w:space="0" w:color="auto"/>
            <w:right w:val="none" w:sz="0" w:space="0" w:color="auto"/>
          </w:divBdr>
          <w:divsChild>
            <w:div w:id="1561476024">
              <w:marLeft w:val="0"/>
              <w:marRight w:val="0"/>
              <w:marTop w:val="0"/>
              <w:marBottom w:val="0"/>
              <w:divBdr>
                <w:top w:val="none" w:sz="0" w:space="0" w:color="auto"/>
                <w:left w:val="none" w:sz="0" w:space="0" w:color="auto"/>
                <w:bottom w:val="none" w:sz="0" w:space="0" w:color="auto"/>
                <w:right w:val="none" w:sz="0" w:space="0" w:color="auto"/>
              </w:divBdr>
            </w:div>
          </w:divsChild>
        </w:div>
        <w:div w:id="668605037">
          <w:marLeft w:val="0"/>
          <w:marRight w:val="0"/>
          <w:marTop w:val="0"/>
          <w:marBottom w:val="0"/>
          <w:divBdr>
            <w:top w:val="none" w:sz="0" w:space="0" w:color="auto"/>
            <w:left w:val="none" w:sz="0" w:space="0" w:color="auto"/>
            <w:bottom w:val="none" w:sz="0" w:space="0" w:color="auto"/>
            <w:right w:val="none" w:sz="0" w:space="0" w:color="auto"/>
          </w:divBdr>
          <w:divsChild>
            <w:div w:id="1185051944">
              <w:marLeft w:val="0"/>
              <w:marRight w:val="0"/>
              <w:marTop w:val="0"/>
              <w:marBottom w:val="0"/>
              <w:divBdr>
                <w:top w:val="none" w:sz="0" w:space="0" w:color="auto"/>
                <w:left w:val="none" w:sz="0" w:space="0" w:color="auto"/>
                <w:bottom w:val="none" w:sz="0" w:space="0" w:color="auto"/>
                <w:right w:val="none" w:sz="0" w:space="0" w:color="auto"/>
              </w:divBdr>
            </w:div>
          </w:divsChild>
        </w:div>
        <w:div w:id="871963150">
          <w:marLeft w:val="0"/>
          <w:marRight w:val="0"/>
          <w:marTop w:val="0"/>
          <w:marBottom w:val="0"/>
          <w:divBdr>
            <w:top w:val="none" w:sz="0" w:space="0" w:color="auto"/>
            <w:left w:val="none" w:sz="0" w:space="0" w:color="auto"/>
            <w:bottom w:val="none" w:sz="0" w:space="0" w:color="auto"/>
            <w:right w:val="none" w:sz="0" w:space="0" w:color="auto"/>
          </w:divBdr>
          <w:divsChild>
            <w:div w:id="1368219773">
              <w:marLeft w:val="0"/>
              <w:marRight w:val="0"/>
              <w:marTop w:val="0"/>
              <w:marBottom w:val="0"/>
              <w:divBdr>
                <w:top w:val="none" w:sz="0" w:space="0" w:color="auto"/>
                <w:left w:val="none" w:sz="0" w:space="0" w:color="auto"/>
                <w:bottom w:val="none" w:sz="0" w:space="0" w:color="auto"/>
                <w:right w:val="none" w:sz="0" w:space="0" w:color="auto"/>
              </w:divBdr>
            </w:div>
          </w:divsChild>
        </w:div>
        <w:div w:id="1326014412">
          <w:marLeft w:val="0"/>
          <w:marRight w:val="0"/>
          <w:marTop w:val="0"/>
          <w:marBottom w:val="0"/>
          <w:divBdr>
            <w:top w:val="none" w:sz="0" w:space="0" w:color="auto"/>
            <w:left w:val="none" w:sz="0" w:space="0" w:color="auto"/>
            <w:bottom w:val="none" w:sz="0" w:space="0" w:color="auto"/>
            <w:right w:val="none" w:sz="0" w:space="0" w:color="auto"/>
          </w:divBdr>
          <w:divsChild>
            <w:div w:id="14579132">
              <w:marLeft w:val="0"/>
              <w:marRight w:val="0"/>
              <w:marTop w:val="0"/>
              <w:marBottom w:val="0"/>
              <w:divBdr>
                <w:top w:val="none" w:sz="0" w:space="0" w:color="auto"/>
                <w:left w:val="none" w:sz="0" w:space="0" w:color="auto"/>
                <w:bottom w:val="none" w:sz="0" w:space="0" w:color="auto"/>
                <w:right w:val="none" w:sz="0" w:space="0" w:color="auto"/>
              </w:divBdr>
              <w:divsChild>
                <w:div w:id="2119324587">
                  <w:marLeft w:val="0"/>
                  <w:marRight w:val="0"/>
                  <w:marTop w:val="0"/>
                  <w:marBottom w:val="0"/>
                  <w:divBdr>
                    <w:top w:val="none" w:sz="0" w:space="0" w:color="auto"/>
                    <w:left w:val="none" w:sz="0" w:space="0" w:color="auto"/>
                    <w:bottom w:val="none" w:sz="0" w:space="0" w:color="auto"/>
                    <w:right w:val="none" w:sz="0" w:space="0" w:color="auto"/>
                  </w:divBdr>
                  <w:divsChild>
                    <w:div w:id="747659017">
                      <w:marLeft w:val="0"/>
                      <w:marRight w:val="0"/>
                      <w:marTop w:val="120"/>
                      <w:marBottom w:val="0"/>
                      <w:divBdr>
                        <w:top w:val="none" w:sz="0" w:space="0" w:color="auto"/>
                        <w:left w:val="none" w:sz="0" w:space="0" w:color="auto"/>
                        <w:bottom w:val="none" w:sz="0" w:space="0" w:color="auto"/>
                        <w:right w:val="none" w:sz="0" w:space="0" w:color="auto"/>
                      </w:divBdr>
                    </w:div>
                    <w:div w:id="273175267">
                      <w:marLeft w:val="0"/>
                      <w:marRight w:val="0"/>
                      <w:marTop w:val="0"/>
                      <w:marBottom w:val="0"/>
                      <w:divBdr>
                        <w:top w:val="none" w:sz="0" w:space="0" w:color="auto"/>
                        <w:left w:val="none" w:sz="0" w:space="0" w:color="auto"/>
                        <w:bottom w:val="none" w:sz="0" w:space="0" w:color="auto"/>
                        <w:right w:val="none" w:sz="0" w:space="0" w:color="auto"/>
                      </w:divBdr>
                    </w:div>
                  </w:divsChild>
                </w:div>
                <w:div w:id="452329810">
                  <w:marLeft w:val="0"/>
                  <w:marRight w:val="0"/>
                  <w:marTop w:val="0"/>
                  <w:marBottom w:val="0"/>
                  <w:divBdr>
                    <w:top w:val="none" w:sz="0" w:space="0" w:color="auto"/>
                    <w:left w:val="none" w:sz="0" w:space="0" w:color="auto"/>
                    <w:bottom w:val="none" w:sz="0" w:space="0" w:color="auto"/>
                    <w:right w:val="none" w:sz="0" w:space="0" w:color="auto"/>
                  </w:divBdr>
                  <w:divsChild>
                    <w:div w:id="1807816997">
                      <w:marLeft w:val="0"/>
                      <w:marRight w:val="0"/>
                      <w:marTop w:val="120"/>
                      <w:marBottom w:val="0"/>
                      <w:divBdr>
                        <w:top w:val="none" w:sz="0" w:space="0" w:color="auto"/>
                        <w:left w:val="none" w:sz="0" w:space="0" w:color="auto"/>
                        <w:bottom w:val="none" w:sz="0" w:space="0" w:color="auto"/>
                        <w:right w:val="none" w:sz="0" w:space="0" w:color="auto"/>
                      </w:divBdr>
                    </w:div>
                    <w:div w:id="485048575">
                      <w:marLeft w:val="0"/>
                      <w:marRight w:val="0"/>
                      <w:marTop w:val="0"/>
                      <w:marBottom w:val="0"/>
                      <w:divBdr>
                        <w:top w:val="none" w:sz="0" w:space="0" w:color="auto"/>
                        <w:left w:val="none" w:sz="0" w:space="0" w:color="auto"/>
                        <w:bottom w:val="none" w:sz="0" w:space="0" w:color="auto"/>
                        <w:right w:val="none" w:sz="0" w:space="0" w:color="auto"/>
                      </w:divBdr>
                    </w:div>
                  </w:divsChild>
                </w:div>
                <w:div w:id="1978760110">
                  <w:marLeft w:val="0"/>
                  <w:marRight w:val="0"/>
                  <w:marTop w:val="0"/>
                  <w:marBottom w:val="0"/>
                  <w:divBdr>
                    <w:top w:val="none" w:sz="0" w:space="0" w:color="auto"/>
                    <w:left w:val="none" w:sz="0" w:space="0" w:color="auto"/>
                    <w:bottom w:val="none" w:sz="0" w:space="0" w:color="auto"/>
                    <w:right w:val="none" w:sz="0" w:space="0" w:color="auto"/>
                  </w:divBdr>
                  <w:divsChild>
                    <w:div w:id="666715363">
                      <w:marLeft w:val="0"/>
                      <w:marRight w:val="0"/>
                      <w:marTop w:val="120"/>
                      <w:marBottom w:val="0"/>
                      <w:divBdr>
                        <w:top w:val="none" w:sz="0" w:space="0" w:color="auto"/>
                        <w:left w:val="none" w:sz="0" w:space="0" w:color="auto"/>
                        <w:bottom w:val="none" w:sz="0" w:space="0" w:color="auto"/>
                        <w:right w:val="none" w:sz="0" w:space="0" w:color="auto"/>
                      </w:divBdr>
                    </w:div>
                    <w:div w:id="12248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973621">
          <w:marLeft w:val="0"/>
          <w:marRight w:val="0"/>
          <w:marTop w:val="0"/>
          <w:marBottom w:val="0"/>
          <w:divBdr>
            <w:top w:val="none" w:sz="0" w:space="0" w:color="auto"/>
            <w:left w:val="none" w:sz="0" w:space="0" w:color="auto"/>
            <w:bottom w:val="none" w:sz="0" w:space="0" w:color="auto"/>
            <w:right w:val="none" w:sz="0" w:space="0" w:color="auto"/>
          </w:divBdr>
          <w:divsChild>
            <w:div w:id="1025517128">
              <w:marLeft w:val="0"/>
              <w:marRight w:val="0"/>
              <w:marTop w:val="0"/>
              <w:marBottom w:val="0"/>
              <w:divBdr>
                <w:top w:val="none" w:sz="0" w:space="0" w:color="auto"/>
                <w:left w:val="none" w:sz="0" w:space="0" w:color="auto"/>
                <w:bottom w:val="none" w:sz="0" w:space="0" w:color="auto"/>
                <w:right w:val="none" w:sz="0" w:space="0" w:color="auto"/>
              </w:divBdr>
            </w:div>
          </w:divsChild>
        </w:div>
        <w:div w:id="557935284">
          <w:marLeft w:val="0"/>
          <w:marRight w:val="0"/>
          <w:marTop w:val="0"/>
          <w:marBottom w:val="0"/>
          <w:divBdr>
            <w:top w:val="none" w:sz="0" w:space="0" w:color="auto"/>
            <w:left w:val="none" w:sz="0" w:space="0" w:color="auto"/>
            <w:bottom w:val="none" w:sz="0" w:space="0" w:color="auto"/>
            <w:right w:val="none" w:sz="0" w:space="0" w:color="auto"/>
          </w:divBdr>
          <w:divsChild>
            <w:div w:id="36399889">
              <w:marLeft w:val="0"/>
              <w:marRight w:val="0"/>
              <w:marTop w:val="0"/>
              <w:marBottom w:val="0"/>
              <w:divBdr>
                <w:top w:val="none" w:sz="0" w:space="0" w:color="auto"/>
                <w:left w:val="none" w:sz="0" w:space="0" w:color="auto"/>
                <w:bottom w:val="none" w:sz="0" w:space="0" w:color="auto"/>
                <w:right w:val="none" w:sz="0" w:space="0" w:color="auto"/>
              </w:divBdr>
            </w:div>
          </w:divsChild>
        </w:div>
        <w:div w:id="1014915528">
          <w:marLeft w:val="0"/>
          <w:marRight w:val="0"/>
          <w:marTop w:val="0"/>
          <w:marBottom w:val="0"/>
          <w:divBdr>
            <w:top w:val="none" w:sz="0" w:space="0" w:color="auto"/>
            <w:left w:val="none" w:sz="0" w:space="0" w:color="auto"/>
            <w:bottom w:val="none" w:sz="0" w:space="0" w:color="auto"/>
            <w:right w:val="none" w:sz="0" w:space="0" w:color="auto"/>
          </w:divBdr>
          <w:divsChild>
            <w:div w:id="678853575">
              <w:marLeft w:val="0"/>
              <w:marRight w:val="0"/>
              <w:marTop w:val="0"/>
              <w:marBottom w:val="0"/>
              <w:divBdr>
                <w:top w:val="none" w:sz="0" w:space="0" w:color="auto"/>
                <w:left w:val="none" w:sz="0" w:space="0" w:color="auto"/>
                <w:bottom w:val="none" w:sz="0" w:space="0" w:color="auto"/>
                <w:right w:val="none" w:sz="0" w:space="0" w:color="auto"/>
              </w:divBdr>
            </w:div>
          </w:divsChild>
        </w:div>
        <w:div w:id="1158573258">
          <w:marLeft w:val="0"/>
          <w:marRight w:val="0"/>
          <w:marTop w:val="0"/>
          <w:marBottom w:val="0"/>
          <w:divBdr>
            <w:top w:val="none" w:sz="0" w:space="0" w:color="auto"/>
            <w:left w:val="none" w:sz="0" w:space="0" w:color="auto"/>
            <w:bottom w:val="none" w:sz="0" w:space="0" w:color="auto"/>
            <w:right w:val="none" w:sz="0" w:space="0" w:color="auto"/>
          </w:divBdr>
          <w:divsChild>
            <w:div w:id="16265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8483">
      <w:bodyDiv w:val="1"/>
      <w:marLeft w:val="0"/>
      <w:marRight w:val="0"/>
      <w:marTop w:val="0"/>
      <w:marBottom w:val="0"/>
      <w:divBdr>
        <w:top w:val="none" w:sz="0" w:space="0" w:color="auto"/>
        <w:left w:val="none" w:sz="0" w:space="0" w:color="auto"/>
        <w:bottom w:val="none" w:sz="0" w:space="0" w:color="auto"/>
        <w:right w:val="none" w:sz="0" w:space="0" w:color="auto"/>
      </w:divBdr>
    </w:div>
    <w:div w:id="1125734739">
      <w:bodyDiv w:val="1"/>
      <w:marLeft w:val="0"/>
      <w:marRight w:val="0"/>
      <w:marTop w:val="0"/>
      <w:marBottom w:val="0"/>
      <w:divBdr>
        <w:top w:val="none" w:sz="0" w:space="0" w:color="auto"/>
        <w:left w:val="none" w:sz="0" w:space="0" w:color="auto"/>
        <w:bottom w:val="none" w:sz="0" w:space="0" w:color="auto"/>
        <w:right w:val="none" w:sz="0" w:space="0" w:color="auto"/>
      </w:divBdr>
    </w:div>
    <w:div w:id="1396201571">
      <w:bodyDiv w:val="1"/>
      <w:marLeft w:val="0"/>
      <w:marRight w:val="0"/>
      <w:marTop w:val="0"/>
      <w:marBottom w:val="0"/>
      <w:divBdr>
        <w:top w:val="none" w:sz="0" w:space="0" w:color="auto"/>
        <w:left w:val="none" w:sz="0" w:space="0" w:color="auto"/>
        <w:bottom w:val="none" w:sz="0" w:space="0" w:color="auto"/>
        <w:right w:val="none" w:sz="0" w:space="0" w:color="auto"/>
      </w:divBdr>
    </w:div>
    <w:div w:id="1433479195">
      <w:bodyDiv w:val="1"/>
      <w:marLeft w:val="0"/>
      <w:marRight w:val="0"/>
      <w:marTop w:val="0"/>
      <w:marBottom w:val="0"/>
      <w:divBdr>
        <w:top w:val="none" w:sz="0" w:space="0" w:color="auto"/>
        <w:left w:val="none" w:sz="0" w:space="0" w:color="auto"/>
        <w:bottom w:val="none" w:sz="0" w:space="0" w:color="auto"/>
        <w:right w:val="none" w:sz="0" w:space="0" w:color="auto"/>
      </w:divBdr>
      <w:divsChild>
        <w:div w:id="842428192">
          <w:marLeft w:val="0"/>
          <w:marRight w:val="0"/>
          <w:marTop w:val="0"/>
          <w:marBottom w:val="0"/>
          <w:divBdr>
            <w:top w:val="none" w:sz="0" w:space="0" w:color="auto"/>
            <w:left w:val="none" w:sz="0" w:space="0" w:color="auto"/>
            <w:bottom w:val="none" w:sz="0" w:space="0" w:color="auto"/>
            <w:right w:val="none" w:sz="0" w:space="0" w:color="auto"/>
          </w:divBdr>
        </w:div>
        <w:div w:id="1160199746">
          <w:marLeft w:val="0"/>
          <w:marRight w:val="0"/>
          <w:marTop w:val="0"/>
          <w:marBottom w:val="0"/>
          <w:divBdr>
            <w:top w:val="none" w:sz="0" w:space="0" w:color="auto"/>
            <w:left w:val="none" w:sz="0" w:space="0" w:color="auto"/>
            <w:bottom w:val="none" w:sz="0" w:space="0" w:color="auto"/>
            <w:right w:val="none" w:sz="0" w:space="0" w:color="auto"/>
          </w:divBdr>
          <w:divsChild>
            <w:div w:id="967860389">
              <w:marLeft w:val="0"/>
              <w:marRight w:val="0"/>
              <w:marTop w:val="0"/>
              <w:marBottom w:val="0"/>
              <w:divBdr>
                <w:top w:val="none" w:sz="0" w:space="0" w:color="auto"/>
                <w:left w:val="none" w:sz="0" w:space="0" w:color="auto"/>
                <w:bottom w:val="none" w:sz="0" w:space="0" w:color="auto"/>
                <w:right w:val="none" w:sz="0" w:space="0" w:color="auto"/>
              </w:divBdr>
              <w:divsChild>
                <w:div w:id="1131676295">
                  <w:marLeft w:val="0"/>
                  <w:marRight w:val="0"/>
                  <w:marTop w:val="0"/>
                  <w:marBottom w:val="0"/>
                  <w:divBdr>
                    <w:top w:val="none" w:sz="0" w:space="0" w:color="auto"/>
                    <w:left w:val="none" w:sz="0" w:space="0" w:color="auto"/>
                    <w:bottom w:val="none" w:sz="0" w:space="0" w:color="auto"/>
                    <w:right w:val="none" w:sz="0" w:space="0" w:color="auto"/>
                  </w:divBdr>
                  <w:divsChild>
                    <w:div w:id="1455099413">
                      <w:marLeft w:val="0"/>
                      <w:marRight w:val="0"/>
                      <w:marTop w:val="120"/>
                      <w:marBottom w:val="0"/>
                      <w:divBdr>
                        <w:top w:val="none" w:sz="0" w:space="0" w:color="auto"/>
                        <w:left w:val="none" w:sz="0" w:space="0" w:color="auto"/>
                        <w:bottom w:val="none" w:sz="0" w:space="0" w:color="auto"/>
                        <w:right w:val="none" w:sz="0" w:space="0" w:color="auto"/>
                      </w:divBdr>
                    </w:div>
                    <w:div w:id="1078214005">
                      <w:marLeft w:val="0"/>
                      <w:marRight w:val="0"/>
                      <w:marTop w:val="0"/>
                      <w:marBottom w:val="0"/>
                      <w:divBdr>
                        <w:top w:val="none" w:sz="0" w:space="0" w:color="auto"/>
                        <w:left w:val="none" w:sz="0" w:space="0" w:color="auto"/>
                        <w:bottom w:val="none" w:sz="0" w:space="0" w:color="auto"/>
                        <w:right w:val="none" w:sz="0" w:space="0" w:color="auto"/>
                      </w:divBdr>
                    </w:div>
                  </w:divsChild>
                </w:div>
                <w:div w:id="2138909927">
                  <w:marLeft w:val="0"/>
                  <w:marRight w:val="0"/>
                  <w:marTop w:val="0"/>
                  <w:marBottom w:val="0"/>
                  <w:divBdr>
                    <w:top w:val="none" w:sz="0" w:space="0" w:color="auto"/>
                    <w:left w:val="none" w:sz="0" w:space="0" w:color="auto"/>
                    <w:bottom w:val="none" w:sz="0" w:space="0" w:color="auto"/>
                    <w:right w:val="none" w:sz="0" w:space="0" w:color="auto"/>
                  </w:divBdr>
                  <w:divsChild>
                    <w:div w:id="2077851518">
                      <w:marLeft w:val="0"/>
                      <w:marRight w:val="0"/>
                      <w:marTop w:val="120"/>
                      <w:marBottom w:val="0"/>
                      <w:divBdr>
                        <w:top w:val="none" w:sz="0" w:space="0" w:color="auto"/>
                        <w:left w:val="none" w:sz="0" w:space="0" w:color="auto"/>
                        <w:bottom w:val="none" w:sz="0" w:space="0" w:color="auto"/>
                        <w:right w:val="none" w:sz="0" w:space="0" w:color="auto"/>
                      </w:divBdr>
                    </w:div>
                    <w:div w:id="7814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11406">
          <w:marLeft w:val="0"/>
          <w:marRight w:val="0"/>
          <w:marTop w:val="0"/>
          <w:marBottom w:val="0"/>
          <w:divBdr>
            <w:top w:val="none" w:sz="0" w:space="0" w:color="auto"/>
            <w:left w:val="none" w:sz="0" w:space="0" w:color="auto"/>
            <w:bottom w:val="none" w:sz="0" w:space="0" w:color="auto"/>
            <w:right w:val="none" w:sz="0" w:space="0" w:color="auto"/>
          </w:divBdr>
          <w:divsChild>
            <w:div w:id="283196013">
              <w:marLeft w:val="0"/>
              <w:marRight w:val="0"/>
              <w:marTop w:val="0"/>
              <w:marBottom w:val="0"/>
              <w:divBdr>
                <w:top w:val="none" w:sz="0" w:space="0" w:color="auto"/>
                <w:left w:val="none" w:sz="0" w:space="0" w:color="auto"/>
                <w:bottom w:val="none" w:sz="0" w:space="0" w:color="auto"/>
                <w:right w:val="none" w:sz="0" w:space="0" w:color="auto"/>
              </w:divBdr>
            </w:div>
          </w:divsChild>
        </w:div>
        <w:div w:id="1705128887">
          <w:marLeft w:val="0"/>
          <w:marRight w:val="0"/>
          <w:marTop w:val="0"/>
          <w:marBottom w:val="0"/>
          <w:divBdr>
            <w:top w:val="none" w:sz="0" w:space="0" w:color="auto"/>
            <w:left w:val="none" w:sz="0" w:space="0" w:color="auto"/>
            <w:bottom w:val="none" w:sz="0" w:space="0" w:color="auto"/>
            <w:right w:val="none" w:sz="0" w:space="0" w:color="auto"/>
          </w:divBdr>
          <w:divsChild>
            <w:div w:id="1734691918">
              <w:marLeft w:val="0"/>
              <w:marRight w:val="0"/>
              <w:marTop w:val="0"/>
              <w:marBottom w:val="0"/>
              <w:divBdr>
                <w:top w:val="none" w:sz="0" w:space="0" w:color="auto"/>
                <w:left w:val="none" w:sz="0" w:space="0" w:color="auto"/>
                <w:bottom w:val="none" w:sz="0" w:space="0" w:color="auto"/>
                <w:right w:val="none" w:sz="0" w:space="0" w:color="auto"/>
              </w:divBdr>
            </w:div>
          </w:divsChild>
        </w:div>
        <w:div w:id="591595303">
          <w:marLeft w:val="0"/>
          <w:marRight w:val="0"/>
          <w:marTop w:val="0"/>
          <w:marBottom w:val="0"/>
          <w:divBdr>
            <w:top w:val="none" w:sz="0" w:space="0" w:color="auto"/>
            <w:left w:val="none" w:sz="0" w:space="0" w:color="auto"/>
            <w:bottom w:val="none" w:sz="0" w:space="0" w:color="auto"/>
            <w:right w:val="none" w:sz="0" w:space="0" w:color="auto"/>
          </w:divBdr>
          <w:divsChild>
            <w:div w:id="152725228">
              <w:marLeft w:val="0"/>
              <w:marRight w:val="0"/>
              <w:marTop w:val="0"/>
              <w:marBottom w:val="0"/>
              <w:divBdr>
                <w:top w:val="none" w:sz="0" w:space="0" w:color="auto"/>
                <w:left w:val="none" w:sz="0" w:space="0" w:color="auto"/>
                <w:bottom w:val="none" w:sz="0" w:space="0" w:color="auto"/>
                <w:right w:val="none" w:sz="0" w:space="0" w:color="auto"/>
              </w:divBdr>
            </w:div>
          </w:divsChild>
        </w:div>
        <w:div w:id="1886139761">
          <w:marLeft w:val="0"/>
          <w:marRight w:val="0"/>
          <w:marTop w:val="0"/>
          <w:marBottom w:val="0"/>
          <w:divBdr>
            <w:top w:val="none" w:sz="0" w:space="0" w:color="auto"/>
            <w:left w:val="none" w:sz="0" w:space="0" w:color="auto"/>
            <w:bottom w:val="none" w:sz="0" w:space="0" w:color="auto"/>
            <w:right w:val="none" w:sz="0" w:space="0" w:color="auto"/>
          </w:divBdr>
          <w:divsChild>
            <w:div w:id="751007335">
              <w:marLeft w:val="0"/>
              <w:marRight w:val="0"/>
              <w:marTop w:val="0"/>
              <w:marBottom w:val="0"/>
              <w:divBdr>
                <w:top w:val="none" w:sz="0" w:space="0" w:color="auto"/>
                <w:left w:val="none" w:sz="0" w:space="0" w:color="auto"/>
                <w:bottom w:val="none" w:sz="0" w:space="0" w:color="auto"/>
                <w:right w:val="none" w:sz="0" w:space="0" w:color="auto"/>
              </w:divBdr>
              <w:divsChild>
                <w:div w:id="809247639">
                  <w:marLeft w:val="0"/>
                  <w:marRight w:val="0"/>
                  <w:marTop w:val="0"/>
                  <w:marBottom w:val="0"/>
                  <w:divBdr>
                    <w:top w:val="none" w:sz="0" w:space="0" w:color="auto"/>
                    <w:left w:val="none" w:sz="0" w:space="0" w:color="auto"/>
                    <w:bottom w:val="none" w:sz="0" w:space="0" w:color="auto"/>
                    <w:right w:val="none" w:sz="0" w:space="0" w:color="auto"/>
                  </w:divBdr>
                  <w:divsChild>
                    <w:div w:id="1752771378">
                      <w:marLeft w:val="0"/>
                      <w:marRight w:val="0"/>
                      <w:marTop w:val="120"/>
                      <w:marBottom w:val="0"/>
                      <w:divBdr>
                        <w:top w:val="none" w:sz="0" w:space="0" w:color="auto"/>
                        <w:left w:val="none" w:sz="0" w:space="0" w:color="auto"/>
                        <w:bottom w:val="none" w:sz="0" w:space="0" w:color="auto"/>
                        <w:right w:val="none" w:sz="0" w:space="0" w:color="auto"/>
                      </w:divBdr>
                    </w:div>
                    <w:div w:id="628244048">
                      <w:marLeft w:val="0"/>
                      <w:marRight w:val="0"/>
                      <w:marTop w:val="0"/>
                      <w:marBottom w:val="0"/>
                      <w:divBdr>
                        <w:top w:val="none" w:sz="0" w:space="0" w:color="auto"/>
                        <w:left w:val="none" w:sz="0" w:space="0" w:color="auto"/>
                        <w:bottom w:val="none" w:sz="0" w:space="0" w:color="auto"/>
                        <w:right w:val="none" w:sz="0" w:space="0" w:color="auto"/>
                      </w:divBdr>
                    </w:div>
                  </w:divsChild>
                </w:div>
                <w:div w:id="1193499673">
                  <w:marLeft w:val="0"/>
                  <w:marRight w:val="0"/>
                  <w:marTop w:val="0"/>
                  <w:marBottom w:val="0"/>
                  <w:divBdr>
                    <w:top w:val="none" w:sz="0" w:space="0" w:color="auto"/>
                    <w:left w:val="none" w:sz="0" w:space="0" w:color="auto"/>
                    <w:bottom w:val="none" w:sz="0" w:space="0" w:color="auto"/>
                    <w:right w:val="none" w:sz="0" w:space="0" w:color="auto"/>
                  </w:divBdr>
                  <w:divsChild>
                    <w:div w:id="1938980432">
                      <w:marLeft w:val="0"/>
                      <w:marRight w:val="0"/>
                      <w:marTop w:val="120"/>
                      <w:marBottom w:val="0"/>
                      <w:divBdr>
                        <w:top w:val="none" w:sz="0" w:space="0" w:color="auto"/>
                        <w:left w:val="none" w:sz="0" w:space="0" w:color="auto"/>
                        <w:bottom w:val="none" w:sz="0" w:space="0" w:color="auto"/>
                        <w:right w:val="none" w:sz="0" w:space="0" w:color="auto"/>
                      </w:divBdr>
                    </w:div>
                    <w:div w:id="2080322469">
                      <w:marLeft w:val="0"/>
                      <w:marRight w:val="0"/>
                      <w:marTop w:val="0"/>
                      <w:marBottom w:val="0"/>
                      <w:divBdr>
                        <w:top w:val="none" w:sz="0" w:space="0" w:color="auto"/>
                        <w:left w:val="none" w:sz="0" w:space="0" w:color="auto"/>
                        <w:bottom w:val="none" w:sz="0" w:space="0" w:color="auto"/>
                        <w:right w:val="none" w:sz="0" w:space="0" w:color="auto"/>
                      </w:divBdr>
                    </w:div>
                  </w:divsChild>
                </w:div>
                <w:div w:id="1038555684">
                  <w:marLeft w:val="0"/>
                  <w:marRight w:val="0"/>
                  <w:marTop w:val="0"/>
                  <w:marBottom w:val="0"/>
                  <w:divBdr>
                    <w:top w:val="none" w:sz="0" w:space="0" w:color="auto"/>
                    <w:left w:val="none" w:sz="0" w:space="0" w:color="auto"/>
                    <w:bottom w:val="none" w:sz="0" w:space="0" w:color="auto"/>
                    <w:right w:val="none" w:sz="0" w:space="0" w:color="auto"/>
                  </w:divBdr>
                  <w:divsChild>
                    <w:div w:id="1313292511">
                      <w:marLeft w:val="0"/>
                      <w:marRight w:val="0"/>
                      <w:marTop w:val="120"/>
                      <w:marBottom w:val="0"/>
                      <w:divBdr>
                        <w:top w:val="none" w:sz="0" w:space="0" w:color="auto"/>
                        <w:left w:val="none" w:sz="0" w:space="0" w:color="auto"/>
                        <w:bottom w:val="none" w:sz="0" w:space="0" w:color="auto"/>
                        <w:right w:val="none" w:sz="0" w:space="0" w:color="auto"/>
                      </w:divBdr>
                    </w:div>
                    <w:div w:id="970670586">
                      <w:marLeft w:val="0"/>
                      <w:marRight w:val="0"/>
                      <w:marTop w:val="0"/>
                      <w:marBottom w:val="0"/>
                      <w:divBdr>
                        <w:top w:val="none" w:sz="0" w:space="0" w:color="auto"/>
                        <w:left w:val="none" w:sz="0" w:space="0" w:color="auto"/>
                        <w:bottom w:val="none" w:sz="0" w:space="0" w:color="auto"/>
                        <w:right w:val="none" w:sz="0" w:space="0" w:color="auto"/>
                      </w:divBdr>
                    </w:div>
                  </w:divsChild>
                </w:div>
                <w:div w:id="1230577639">
                  <w:marLeft w:val="0"/>
                  <w:marRight w:val="0"/>
                  <w:marTop w:val="0"/>
                  <w:marBottom w:val="0"/>
                  <w:divBdr>
                    <w:top w:val="none" w:sz="0" w:space="0" w:color="auto"/>
                    <w:left w:val="none" w:sz="0" w:space="0" w:color="auto"/>
                    <w:bottom w:val="none" w:sz="0" w:space="0" w:color="auto"/>
                    <w:right w:val="none" w:sz="0" w:space="0" w:color="auto"/>
                  </w:divBdr>
                  <w:divsChild>
                    <w:div w:id="1725327406">
                      <w:marLeft w:val="0"/>
                      <w:marRight w:val="0"/>
                      <w:marTop w:val="120"/>
                      <w:marBottom w:val="0"/>
                      <w:divBdr>
                        <w:top w:val="none" w:sz="0" w:space="0" w:color="auto"/>
                        <w:left w:val="none" w:sz="0" w:space="0" w:color="auto"/>
                        <w:bottom w:val="none" w:sz="0" w:space="0" w:color="auto"/>
                        <w:right w:val="none" w:sz="0" w:space="0" w:color="auto"/>
                      </w:divBdr>
                    </w:div>
                    <w:div w:id="1476335996">
                      <w:marLeft w:val="0"/>
                      <w:marRight w:val="0"/>
                      <w:marTop w:val="0"/>
                      <w:marBottom w:val="0"/>
                      <w:divBdr>
                        <w:top w:val="none" w:sz="0" w:space="0" w:color="auto"/>
                        <w:left w:val="none" w:sz="0" w:space="0" w:color="auto"/>
                        <w:bottom w:val="none" w:sz="0" w:space="0" w:color="auto"/>
                        <w:right w:val="none" w:sz="0" w:space="0" w:color="auto"/>
                      </w:divBdr>
                    </w:div>
                  </w:divsChild>
                </w:div>
                <w:div w:id="69468396">
                  <w:marLeft w:val="0"/>
                  <w:marRight w:val="0"/>
                  <w:marTop w:val="0"/>
                  <w:marBottom w:val="0"/>
                  <w:divBdr>
                    <w:top w:val="none" w:sz="0" w:space="0" w:color="auto"/>
                    <w:left w:val="none" w:sz="0" w:space="0" w:color="auto"/>
                    <w:bottom w:val="none" w:sz="0" w:space="0" w:color="auto"/>
                    <w:right w:val="none" w:sz="0" w:space="0" w:color="auto"/>
                  </w:divBdr>
                  <w:divsChild>
                    <w:div w:id="1669210929">
                      <w:marLeft w:val="0"/>
                      <w:marRight w:val="0"/>
                      <w:marTop w:val="120"/>
                      <w:marBottom w:val="0"/>
                      <w:divBdr>
                        <w:top w:val="none" w:sz="0" w:space="0" w:color="auto"/>
                        <w:left w:val="none" w:sz="0" w:space="0" w:color="auto"/>
                        <w:bottom w:val="none" w:sz="0" w:space="0" w:color="auto"/>
                        <w:right w:val="none" w:sz="0" w:space="0" w:color="auto"/>
                      </w:divBdr>
                    </w:div>
                    <w:div w:id="585304108">
                      <w:marLeft w:val="0"/>
                      <w:marRight w:val="0"/>
                      <w:marTop w:val="0"/>
                      <w:marBottom w:val="0"/>
                      <w:divBdr>
                        <w:top w:val="none" w:sz="0" w:space="0" w:color="auto"/>
                        <w:left w:val="none" w:sz="0" w:space="0" w:color="auto"/>
                        <w:bottom w:val="none" w:sz="0" w:space="0" w:color="auto"/>
                        <w:right w:val="none" w:sz="0" w:space="0" w:color="auto"/>
                      </w:divBdr>
                    </w:div>
                  </w:divsChild>
                </w:div>
                <w:div w:id="349181751">
                  <w:marLeft w:val="0"/>
                  <w:marRight w:val="0"/>
                  <w:marTop w:val="0"/>
                  <w:marBottom w:val="0"/>
                  <w:divBdr>
                    <w:top w:val="none" w:sz="0" w:space="0" w:color="auto"/>
                    <w:left w:val="none" w:sz="0" w:space="0" w:color="auto"/>
                    <w:bottom w:val="none" w:sz="0" w:space="0" w:color="auto"/>
                    <w:right w:val="none" w:sz="0" w:space="0" w:color="auto"/>
                  </w:divBdr>
                  <w:divsChild>
                    <w:div w:id="1927153618">
                      <w:marLeft w:val="0"/>
                      <w:marRight w:val="0"/>
                      <w:marTop w:val="120"/>
                      <w:marBottom w:val="0"/>
                      <w:divBdr>
                        <w:top w:val="none" w:sz="0" w:space="0" w:color="auto"/>
                        <w:left w:val="none" w:sz="0" w:space="0" w:color="auto"/>
                        <w:bottom w:val="none" w:sz="0" w:space="0" w:color="auto"/>
                        <w:right w:val="none" w:sz="0" w:space="0" w:color="auto"/>
                      </w:divBdr>
                    </w:div>
                    <w:div w:id="21421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366713">
          <w:marLeft w:val="0"/>
          <w:marRight w:val="0"/>
          <w:marTop w:val="0"/>
          <w:marBottom w:val="0"/>
          <w:divBdr>
            <w:top w:val="none" w:sz="0" w:space="0" w:color="auto"/>
            <w:left w:val="none" w:sz="0" w:space="0" w:color="auto"/>
            <w:bottom w:val="none" w:sz="0" w:space="0" w:color="auto"/>
            <w:right w:val="none" w:sz="0" w:space="0" w:color="auto"/>
          </w:divBdr>
          <w:divsChild>
            <w:div w:id="114747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533">
      <w:bodyDiv w:val="1"/>
      <w:marLeft w:val="0"/>
      <w:marRight w:val="0"/>
      <w:marTop w:val="0"/>
      <w:marBottom w:val="0"/>
      <w:divBdr>
        <w:top w:val="none" w:sz="0" w:space="0" w:color="auto"/>
        <w:left w:val="none" w:sz="0" w:space="0" w:color="auto"/>
        <w:bottom w:val="none" w:sz="0" w:space="0" w:color="auto"/>
        <w:right w:val="none" w:sz="0" w:space="0" w:color="auto"/>
      </w:divBdr>
      <w:divsChild>
        <w:div w:id="1637099321">
          <w:marLeft w:val="0"/>
          <w:marRight w:val="0"/>
          <w:marTop w:val="0"/>
          <w:marBottom w:val="0"/>
          <w:divBdr>
            <w:top w:val="none" w:sz="0" w:space="0" w:color="auto"/>
            <w:left w:val="none" w:sz="0" w:space="0" w:color="auto"/>
            <w:bottom w:val="none" w:sz="0" w:space="0" w:color="auto"/>
            <w:right w:val="none" w:sz="0" w:space="0" w:color="auto"/>
          </w:divBdr>
          <w:divsChild>
            <w:div w:id="38163381">
              <w:marLeft w:val="0"/>
              <w:marRight w:val="0"/>
              <w:marTop w:val="0"/>
              <w:marBottom w:val="0"/>
              <w:divBdr>
                <w:top w:val="none" w:sz="0" w:space="0" w:color="auto"/>
                <w:left w:val="none" w:sz="0" w:space="0" w:color="auto"/>
                <w:bottom w:val="none" w:sz="0" w:space="0" w:color="auto"/>
                <w:right w:val="none" w:sz="0" w:space="0" w:color="auto"/>
              </w:divBdr>
            </w:div>
            <w:div w:id="2059889010">
              <w:marLeft w:val="0"/>
              <w:marRight w:val="0"/>
              <w:marTop w:val="0"/>
              <w:marBottom w:val="0"/>
              <w:divBdr>
                <w:top w:val="none" w:sz="0" w:space="0" w:color="auto"/>
                <w:left w:val="none" w:sz="0" w:space="0" w:color="auto"/>
                <w:bottom w:val="none" w:sz="0" w:space="0" w:color="auto"/>
                <w:right w:val="none" w:sz="0" w:space="0" w:color="auto"/>
              </w:divBdr>
              <w:divsChild>
                <w:div w:id="409159601">
                  <w:marLeft w:val="0"/>
                  <w:marRight w:val="0"/>
                  <w:marTop w:val="0"/>
                  <w:marBottom w:val="0"/>
                  <w:divBdr>
                    <w:top w:val="none" w:sz="0" w:space="0" w:color="auto"/>
                    <w:left w:val="none" w:sz="0" w:space="0" w:color="auto"/>
                    <w:bottom w:val="none" w:sz="0" w:space="0" w:color="auto"/>
                    <w:right w:val="none" w:sz="0" w:space="0" w:color="auto"/>
                  </w:divBdr>
                  <w:divsChild>
                    <w:div w:id="828981028">
                      <w:marLeft w:val="0"/>
                      <w:marRight w:val="0"/>
                      <w:marTop w:val="0"/>
                      <w:marBottom w:val="0"/>
                      <w:divBdr>
                        <w:top w:val="none" w:sz="0" w:space="0" w:color="auto"/>
                        <w:left w:val="none" w:sz="0" w:space="0" w:color="auto"/>
                        <w:bottom w:val="none" w:sz="0" w:space="0" w:color="auto"/>
                        <w:right w:val="none" w:sz="0" w:space="0" w:color="auto"/>
                      </w:divBdr>
                      <w:divsChild>
                        <w:div w:id="2060199555">
                          <w:marLeft w:val="0"/>
                          <w:marRight w:val="0"/>
                          <w:marTop w:val="120"/>
                          <w:marBottom w:val="0"/>
                          <w:divBdr>
                            <w:top w:val="none" w:sz="0" w:space="0" w:color="auto"/>
                            <w:left w:val="none" w:sz="0" w:space="0" w:color="auto"/>
                            <w:bottom w:val="none" w:sz="0" w:space="0" w:color="auto"/>
                            <w:right w:val="none" w:sz="0" w:space="0" w:color="auto"/>
                          </w:divBdr>
                        </w:div>
                        <w:div w:id="268124449">
                          <w:marLeft w:val="0"/>
                          <w:marRight w:val="0"/>
                          <w:marTop w:val="0"/>
                          <w:marBottom w:val="0"/>
                          <w:divBdr>
                            <w:top w:val="none" w:sz="0" w:space="0" w:color="auto"/>
                            <w:left w:val="none" w:sz="0" w:space="0" w:color="auto"/>
                            <w:bottom w:val="none" w:sz="0" w:space="0" w:color="auto"/>
                            <w:right w:val="none" w:sz="0" w:space="0" w:color="auto"/>
                          </w:divBdr>
                        </w:div>
                      </w:divsChild>
                    </w:div>
                    <w:div w:id="1395351089">
                      <w:marLeft w:val="0"/>
                      <w:marRight w:val="0"/>
                      <w:marTop w:val="0"/>
                      <w:marBottom w:val="0"/>
                      <w:divBdr>
                        <w:top w:val="none" w:sz="0" w:space="0" w:color="auto"/>
                        <w:left w:val="none" w:sz="0" w:space="0" w:color="auto"/>
                        <w:bottom w:val="none" w:sz="0" w:space="0" w:color="auto"/>
                        <w:right w:val="none" w:sz="0" w:space="0" w:color="auto"/>
                      </w:divBdr>
                      <w:divsChild>
                        <w:div w:id="1790053412">
                          <w:marLeft w:val="0"/>
                          <w:marRight w:val="0"/>
                          <w:marTop w:val="120"/>
                          <w:marBottom w:val="0"/>
                          <w:divBdr>
                            <w:top w:val="none" w:sz="0" w:space="0" w:color="auto"/>
                            <w:left w:val="none" w:sz="0" w:space="0" w:color="auto"/>
                            <w:bottom w:val="none" w:sz="0" w:space="0" w:color="auto"/>
                            <w:right w:val="none" w:sz="0" w:space="0" w:color="auto"/>
                          </w:divBdr>
                        </w:div>
                        <w:div w:id="14628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73190">
              <w:marLeft w:val="0"/>
              <w:marRight w:val="0"/>
              <w:marTop w:val="0"/>
              <w:marBottom w:val="0"/>
              <w:divBdr>
                <w:top w:val="none" w:sz="0" w:space="0" w:color="auto"/>
                <w:left w:val="none" w:sz="0" w:space="0" w:color="auto"/>
                <w:bottom w:val="none" w:sz="0" w:space="0" w:color="auto"/>
                <w:right w:val="none" w:sz="0" w:space="0" w:color="auto"/>
              </w:divBdr>
              <w:divsChild>
                <w:div w:id="1989355355">
                  <w:marLeft w:val="0"/>
                  <w:marRight w:val="0"/>
                  <w:marTop w:val="0"/>
                  <w:marBottom w:val="0"/>
                  <w:divBdr>
                    <w:top w:val="none" w:sz="0" w:space="0" w:color="auto"/>
                    <w:left w:val="none" w:sz="0" w:space="0" w:color="auto"/>
                    <w:bottom w:val="none" w:sz="0" w:space="0" w:color="auto"/>
                    <w:right w:val="none" w:sz="0" w:space="0" w:color="auto"/>
                  </w:divBdr>
                  <w:divsChild>
                    <w:div w:id="1718696280">
                      <w:marLeft w:val="0"/>
                      <w:marRight w:val="0"/>
                      <w:marTop w:val="0"/>
                      <w:marBottom w:val="0"/>
                      <w:divBdr>
                        <w:top w:val="none" w:sz="0" w:space="0" w:color="auto"/>
                        <w:left w:val="none" w:sz="0" w:space="0" w:color="auto"/>
                        <w:bottom w:val="none" w:sz="0" w:space="0" w:color="auto"/>
                        <w:right w:val="none" w:sz="0" w:space="0" w:color="auto"/>
                      </w:divBdr>
                      <w:divsChild>
                        <w:div w:id="1509783299">
                          <w:marLeft w:val="0"/>
                          <w:marRight w:val="0"/>
                          <w:marTop w:val="120"/>
                          <w:marBottom w:val="0"/>
                          <w:divBdr>
                            <w:top w:val="none" w:sz="0" w:space="0" w:color="auto"/>
                            <w:left w:val="none" w:sz="0" w:space="0" w:color="auto"/>
                            <w:bottom w:val="none" w:sz="0" w:space="0" w:color="auto"/>
                            <w:right w:val="none" w:sz="0" w:space="0" w:color="auto"/>
                          </w:divBdr>
                        </w:div>
                        <w:div w:id="1615283211">
                          <w:marLeft w:val="0"/>
                          <w:marRight w:val="0"/>
                          <w:marTop w:val="0"/>
                          <w:marBottom w:val="0"/>
                          <w:divBdr>
                            <w:top w:val="none" w:sz="0" w:space="0" w:color="auto"/>
                            <w:left w:val="none" w:sz="0" w:space="0" w:color="auto"/>
                            <w:bottom w:val="none" w:sz="0" w:space="0" w:color="auto"/>
                            <w:right w:val="none" w:sz="0" w:space="0" w:color="auto"/>
                          </w:divBdr>
                        </w:div>
                      </w:divsChild>
                    </w:div>
                    <w:div w:id="1766656625">
                      <w:marLeft w:val="0"/>
                      <w:marRight w:val="0"/>
                      <w:marTop w:val="0"/>
                      <w:marBottom w:val="0"/>
                      <w:divBdr>
                        <w:top w:val="none" w:sz="0" w:space="0" w:color="auto"/>
                        <w:left w:val="none" w:sz="0" w:space="0" w:color="auto"/>
                        <w:bottom w:val="none" w:sz="0" w:space="0" w:color="auto"/>
                        <w:right w:val="none" w:sz="0" w:space="0" w:color="auto"/>
                      </w:divBdr>
                      <w:divsChild>
                        <w:div w:id="1818762687">
                          <w:marLeft w:val="0"/>
                          <w:marRight w:val="0"/>
                          <w:marTop w:val="120"/>
                          <w:marBottom w:val="0"/>
                          <w:divBdr>
                            <w:top w:val="none" w:sz="0" w:space="0" w:color="auto"/>
                            <w:left w:val="none" w:sz="0" w:space="0" w:color="auto"/>
                            <w:bottom w:val="none" w:sz="0" w:space="0" w:color="auto"/>
                            <w:right w:val="none" w:sz="0" w:space="0" w:color="auto"/>
                          </w:divBdr>
                        </w:div>
                        <w:div w:id="654991766">
                          <w:marLeft w:val="0"/>
                          <w:marRight w:val="0"/>
                          <w:marTop w:val="0"/>
                          <w:marBottom w:val="0"/>
                          <w:divBdr>
                            <w:top w:val="none" w:sz="0" w:space="0" w:color="auto"/>
                            <w:left w:val="none" w:sz="0" w:space="0" w:color="auto"/>
                            <w:bottom w:val="none" w:sz="0" w:space="0" w:color="auto"/>
                            <w:right w:val="none" w:sz="0" w:space="0" w:color="auto"/>
                          </w:divBdr>
                        </w:div>
                      </w:divsChild>
                    </w:div>
                    <w:div w:id="1360012893">
                      <w:marLeft w:val="0"/>
                      <w:marRight w:val="0"/>
                      <w:marTop w:val="0"/>
                      <w:marBottom w:val="0"/>
                      <w:divBdr>
                        <w:top w:val="none" w:sz="0" w:space="0" w:color="auto"/>
                        <w:left w:val="none" w:sz="0" w:space="0" w:color="auto"/>
                        <w:bottom w:val="none" w:sz="0" w:space="0" w:color="auto"/>
                        <w:right w:val="none" w:sz="0" w:space="0" w:color="auto"/>
                      </w:divBdr>
                      <w:divsChild>
                        <w:div w:id="782306752">
                          <w:marLeft w:val="0"/>
                          <w:marRight w:val="0"/>
                          <w:marTop w:val="120"/>
                          <w:marBottom w:val="0"/>
                          <w:divBdr>
                            <w:top w:val="none" w:sz="0" w:space="0" w:color="auto"/>
                            <w:left w:val="none" w:sz="0" w:space="0" w:color="auto"/>
                            <w:bottom w:val="none" w:sz="0" w:space="0" w:color="auto"/>
                            <w:right w:val="none" w:sz="0" w:space="0" w:color="auto"/>
                          </w:divBdr>
                        </w:div>
                        <w:div w:id="30426943">
                          <w:marLeft w:val="0"/>
                          <w:marRight w:val="0"/>
                          <w:marTop w:val="0"/>
                          <w:marBottom w:val="0"/>
                          <w:divBdr>
                            <w:top w:val="none" w:sz="0" w:space="0" w:color="auto"/>
                            <w:left w:val="none" w:sz="0" w:space="0" w:color="auto"/>
                            <w:bottom w:val="none" w:sz="0" w:space="0" w:color="auto"/>
                            <w:right w:val="none" w:sz="0" w:space="0" w:color="auto"/>
                          </w:divBdr>
                        </w:div>
                      </w:divsChild>
                    </w:div>
                    <w:div w:id="61373181">
                      <w:marLeft w:val="0"/>
                      <w:marRight w:val="0"/>
                      <w:marTop w:val="0"/>
                      <w:marBottom w:val="0"/>
                      <w:divBdr>
                        <w:top w:val="none" w:sz="0" w:space="0" w:color="auto"/>
                        <w:left w:val="none" w:sz="0" w:space="0" w:color="auto"/>
                        <w:bottom w:val="none" w:sz="0" w:space="0" w:color="auto"/>
                        <w:right w:val="none" w:sz="0" w:space="0" w:color="auto"/>
                      </w:divBdr>
                      <w:divsChild>
                        <w:div w:id="1044938450">
                          <w:marLeft w:val="0"/>
                          <w:marRight w:val="0"/>
                          <w:marTop w:val="120"/>
                          <w:marBottom w:val="0"/>
                          <w:divBdr>
                            <w:top w:val="none" w:sz="0" w:space="0" w:color="auto"/>
                            <w:left w:val="none" w:sz="0" w:space="0" w:color="auto"/>
                            <w:bottom w:val="none" w:sz="0" w:space="0" w:color="auto"/>
                            <w:right w:val="none" w:sz="0" w:space="0" w:color="auto"/>
                          </w:divBdr>
                        </w:div>
                        <w:div w:id="1609238782">
                          <w:marLeft w:val="0"/>
                          <w:marRight w:val="0"/>
                          <w:marTop w:val="0"/>
                          <w:marBottom w:val="0"/>
                          <w:divBdr>
                            <w:top w:val="none" w:sz="0" w:space="0" w:color="auto"/>
                            <w:left w:val="none" w:sz="0" w:space="0" w:color="auto"/>
                            <w:bottom w:val="none" w:sz="0" w:space="0" w:color="auto"/>
                            <w:right w:val="none" w:sz="0" w:space="0" w:color="auto"/>
                          </w:divBdr>
                        </w:div>
                      </w:divsChild>
                    </w:div>
                    <w:div w:id="506864509">
                      <w:marLeft w:val="0"/>
                      <w:marRight w:val="0"/>
                      <w:marTop w:val="0"/>
                      <w:marBottom w:val="0"/>
                      <w:divBdr>
                        <w:top w:val="none" w:sz="0" w:space="0" w:color="auto"/>
                        <w:left w:val="none" w:sz="0" w:space="0" w:color="auto"/>
                        <w:bottom w:val="none" w:sz="0" w:space="0" w:color="auto"/>
                        <w:right w:val="none" w:sz="0" w:space="0" w:color="auto"/>
                      </w:divBdr>
                      <w:divsChild>
                        <w:div w:id="2069955034">
                          <w:marLeft w:val="0"/>
                          <w:marRight w:val="0"/>
                          <w:marTop w:val="120"/>
                          <w:marBottom w:val="0"/>
                          <w:divBdr>
                            <w:top w:val="none" w:sz="0" w:space="0" w:color="auto"/>
                            <w:left w:val="none" w:sz="0" w:space="0" w:color="auto"/>
                            <w:bottom w:val="none" w:sz="0" w:space="0" w:color="auto"/>
                            <w:right w:val="none" w:sz="0" w:space="0" w:color="auto"/>
                          </w:divBdr>
                        </w:div>
                        <w:div w:id="230115554">
                          <w:marLeft w:val="0"/>
                          <w:marRight w:val="0"/>
                          <w:marTop w:val="0"/>
                          <w:marBottom w:val="0"/>
                          <w:divBdr>
                            <w:top w:val="none" w:sz="0" w:space="0" w:color="auto"/>
                            <w:left w:val="none" w:sz="0" w:space="0" w:color="auto"/>
                            <w:bottom w:val="none" w:sz="0" w:space="0" w:color="auto"/>
                            <w:right w:val="none" w:sz="0" w:space="0" w:color="auto"/>
                          </w:divBdr>
                        </w:div>
                      </w:divsChild>
                    </w:div>
                    <w:div w:id="557858454">
                      <w:marLeft w:val="0"/>
                      <w:marRight w:val="0"/>
                      <w:marTop w:val="0"/>
                      <w:marBottom w:val="0"/>
                      <w:divBdr>
                        <w:top w:val="none" w:sz="0" w:space="0" w:color="auto"/>
                        <w:left w:val="none" w:sz="0" w:space="0" w:color="auto"/>
                        <w:bottom w:val="none" w:sz="0" w:space="0" w:color="auto"/>
                        <w:right w:val="none" w:sz="0" w:space="0" w:color="auto"/>
                      </w:divBdr>
                      <w:divsChild>
                        <w:div w:id="338777511">
                          <w:marLeft w:val="0"/>
                          <w:marRight w:val="0"/>
                          <w:marTop w:val="120"/>
                          <w:marBottom w:val="0"/>
                          <w:divBdr>
                            <w:top w:val="none" w:sz="0" w:space="0" w:color="auto"/>
                            <w:left w:val="none" w:sz="0" w:space="0" w:color="auto"/>
                            <w:bottom w:val="none" w:sz="0" w:space="0" w:color="auto"/>
                            <w:right w:val="none" w:sz="0" w:space="0" w:color="auto"/>
                          </w:divBdr>
                        </w:div>
                        <w:div w:id="343018287">
                          <w:marLeft w:val="0"/>
                          <w:marRight w:val="0"/>
                          <w:marTop w:val="0"/>
                          <w:marBottom w:val="0"/>
                          <w:divBdr>
                            <w:top w:val="none" w:sz="0" w:space="0" w:color="auto"/>
                            <w:left w:val="none" w:sz="0" w:space="0" w:color="auto"/>
                            <w:bottom w:val="none" w:sz="0" w:space="0" w:color="auto"/>
                            <w:right w:val="none" w:sz="0" w:space="0" w:color="auto"/>
                          </w:divBdr>
                        </w:div>
                      </w:divsChild>
                    </w:div>
                    <w:div w:id="977101572">
                      <w:marLeft w:val="0"/>
                      <w:marRight w:val="0"/>
                      <w:marTop w:val="0"/>
                      <w:marBottom w:val="0"/>
                      <w:divBdr>
                        <w:top w:val="none" w:sz="0" w:space="0" w:color="auto"/>
                        <w:left w:val="none" w:sz="0" w:space="0" w:color="auto"/>
                        <w:bottom w:val="none" w:sz="0" w:space="0" w:color="auto"/>
                        <w:right w:val="none" w:sz="0" w:space="0" w:color="auto"/>
                      </w:divBdr>
                      <w:divsChild>
                        <w:div w:id="293146681">
                          <w:marLeft w:val="0"/>
                          <w:marRight w:val="0"/>
                          <w:marTop w:val="120"/>
                          <w:marBottom w:val="0"/>
                          <w:divBdr>
                            <w:top w:val="none" w:sz="0" w:space="0" w:color="auto"/>
                            <w:left w:val="none" w:sz="0" w:space="0" w:color="auto"/>
                            <w:bottom w:val="none" w:sz="0" w:space="0" w:color="auto"/>
                            <w:right w:val="none" w:sz="0" w:space="0" w:color="auto"/>
                          </w:divBdr>
                        </w:div>
                        <w:div w:id="1901279931">
                          <w:marLeft w:val="0"/>
                          <w:marRight w:val="0"/>
                          <w:marTop w:val="0"/>
                          <w:marBottom w:val="0"/>
                          <w:divBdr>
                            <w:top w:val="none" w:sz="0" w:space="0" w:color="auto"/>
                            <w:left w:val="none" w:sz="0" w:space="0" w:color="auto"/>
                            <w:bottom w:val="none" w:sz="0" w:space="0" w:color="auto"/>
                            <w:right w:val="none" w:sz="0" w:space="0" w:color="auto"/>
                          </w:divBdr>
                        </w:div>
                      </w:divsChild>
                    </w:div>
                    <w:div w:id="1822581249">
                      <w:marLeft w:val="0"/>
                      <w:marRight w:val="0"/>
                      <w:marTop w:val="0"/>
                      <w:marBottom w:val="0"/>
                      <w:divBdr>
                        <w:top w:val="none" w:sz="0" w:space="0" w:color="auto"/>
                        <w:left w:val="none" w:sz="0" w:space="0" w:color="auto"/>
                        <w:bottom w:val="none" w:sz="0" w:space="0" w:color="auto"/>
                        <w:right w:val="none" w:sz="0" w:space="0" w:color="auto"/>
                      </w:divBdr>
                      <w:divsChild>
                        <w:div w:id="979848111">
                          <w:marLeft w:val="0"/>
                          <w:marRight w:val="0"/>
                          <w:marTop w:val="120"/>
                          <w:marBottom w:val="0"/>
                          <w:divBdr>
                            <w:top w:val="none" w:sz="0" w:space="0" w:color="auto"/>
                            <w:left w:val="none" w:sz="0" w:space="0" w:color="auto"/>
                            <w:bottom w:val="none" w:sz="0" w:space="0" w:color="auto"/>
                            <w:right w:val="none" w:sz="0" w:space="0" w:color="auto"/>
                          </w:divBdr>
                        </w:div>
                        <w:div w:id="35658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17862">
              <w:marLeft w:val="0"/>
              <w:marRight w:val="0"/>
              <w:marTop w:val="0"/>
              <w:marBottom w:val="0"/>
              <w:divBdr>
                <w:top w:val="none" w:sz="0" w:space="0" w:color="auto"/>
                <w:left w:val="none" w:sz="0" w:space="0" w:color="auto"/>
                <w:bottom w:val="none" w:sz="0" w:space="0" w:color="auto"/>
                <w:right w:val="none" w:sz="0" w:space="0" w:color="auto"/>
              </w:divBdr>
              <w:divsChild>
                <w:div w:id="303583278">
                  <w:marLeft w:val="0"/>
                  <w:marRight w:val="0"/>
                  <w:marTop w:val="0"/>
                  <w:marBottom w:val="0"/>
                  <w:divBdr>
                    <w:top w:val="none" w:sz="0" w:space="0" w:color="auto"/>
                    <w:left w:val="none" w:sz="0" w:space="0" w:color="auto"/>
                    <w:bottom w:val="none" w:sz="0" w:space="0" w:color="auto"/>
                    <w:right w:val="none" w:sz="0" w:space="0" w:color="auto"/>
                  </w:divBdr>
                  <w:divsChild>
                    <w:div w:id="1923484597">
                      <w:marLeft w:val="0"/>
                      <w:marRight w:val="0"/>
                      <w:marTop w:val="0"/>
                      <w:marBottom w:val="0"/>
                      <w:divBdr>
                        <w:top w:val="none" w:sz="0" w:space="0" w:color="auto"/>
                        <w:left w:val="none" w:sz="0" w:space="0" w:color="auto"/>
                        <w:bottom w:val="none" w:sz="0" w:space="0" w:color="auto"/>
                        <w:right w:val="none" w:sz="0" w:space="0" w:color="auto"/>
                      </w:divBdr>
                      <w:divsChild>
                        <w:div w:id="1598251655">
                          <w:marLeft w:val="0"/>
                          <w:marRight w:val="0"/>
                          <w:marTop w:val="120"/>
                          <w:marBottom w:val="0"/>
                          <w:divBdr>
                            <w:top w:val="none" w:sz="0" w:space="0" w:color="auto"/>
                            <w:left w:val="none" w:sz="0" w:space="0" w:color="auto"/>
                            <w:bottom w:val="none" w:sz="0" w:space="0" w:color="auto"/>
                            <w:right w:val="none" w:sz="0" w:space="0" w:color="auto"/>
                          </w:divBdr>
                        </w:div>
                        <w:div w:id="112990970">
                          <w:marLeft w:val="0"/>
                          <w:marRight w:val="0"/>
                          <w:marTop w:val="0"/>
                          <w:marBottom w:val="0"/>
                          <w:divBdr>
                            <w:top w:val="none" w:sz="0" w:space="0" w:color="auto"/>
                            <w:left w:val="none" w:sz="0" w:space="0" w:color="auto"/>
                            <w:bottom w:val="none" w:sz="0" w:space="0" w:color="auto"/>
                            <w:right w:val="none" w:sz="0" w:space="0" w:color="auto"/>
                          </w:divBdr>
                        </w:div>
                      </w:divsChild>
                    </w:div>
                    <w:div w:id="1007486464">
                      <w:marLeft w:val="0"/>
                      <w:marRight w:val="0"/>
                      <w:marTop w:val="0"/>
                      <w:marBottom w:val="0"/>
                      <w:divBdr>
                        <w:top w:val="none" w:sz="0" w:space="0" w:color="auto"/>
                        <w:left w:val="none" w:sz="0" w:space="0" w:color="auto"/>
                        <w:bottom w:val="none" w:sz="0" w:space="0" w:color="auto"/>
                        <w:right w:val="none" w:sz="0" w:space="0" w:color="auto"/>
                      </w:divBdr>
                      <w:divsChild>
                        <w:div w:id="1002464764">
                          <w:marLeft w:val="0"/>
                          <w:marRight w:val="0"/>
                          <w:marTop w:val="120"/>
                          <w:marBottom w:val="0"/>
                          <w:divBdr>
                            <w:top w:val="none" w:sz="0" w:space="0" w:color="auto"/>
                            <w:left w:val="none" w:sz="0" w:space="0" w:color="auto"/>
                            <w:bottom w:val="none" w:sz="0" w:space="0" w:color="auto"/>
                            <w:right w:val="none" w:sz="0" w:space="0" w:color="auto"/>
                          </w:divBdr>
                        </w:div>
                        <w:div w:id="306201506">
                          <w:marLeft w:val="0"/>
                          <w:marRight w:val="0"/>
                          <w:marTop w:val="0"/>
                          <w:marBottom w:val="0"/>
                          <w:divBdr>
                            <w:top w:val="none" w:sz="0" w:space="0" w:color="auto"/>
                            <w:left w:val="none" w:sz="0" w:space="0" w:color="auto"/>
                            <w:bottom w:val="none" w:sz="0" w:space="0" w:color="auto"/>
                            <w:right w:val="none" w:sz="0" w:space="0" w:color="auto"/>
                          </w:divBdr>
                        </w:div>
                      </w:divsChild>
                    </w:div>
                    <w:div w:id="2111731039">
                      <w:marLeft w:val="0"/>
                      <w:marRight w:val="0"/>
                      <w:marTop w:val="0"/>
                      <w:marBottom w:val="0"/>
                      <w:divBdr>
                        <w:top w:val="none" w:sz="0" w:space="0" w:color="auto"/>
                        <w:left w:val="none" w:sz="0" w:space="0" w:color="auto"/>
                        <w:bottom w:val="none" w:sz="0" w:space="0" w:color="auto"/>
                        <w:right w:val="none" w:sz="0" w:space="0" w:color="auto"/>
                      </w:divBdr>
                      <w:divsChild>
                        <w:div w:id="1206794631">
                          <w:marLeft w:val="0"/>
                          <w:marRight w:val="0"/>
                          <w:marTop w:val="120"/>
                          <w:marBottom w:val="0"/>
                          <w:divBdr>
                            <w:top w:val="none" w:sz="0" w:space="0" w:color="auto"/>
                            <w:left w:val="none" w:sz="0" w:space="0" w:color="auto"/>
                            <w:bottom w:val="none" w:sz="0" w:space="0" w:color="auto"/>
                            <w:right w:val="none" w:sz="0" w:space="0" w:color="auto"/>
                          </w:divBdr>
                        </w:div>
                        <w:div w:id="429473679">
                          <w:marLeft w:val="0"/>
                          <w:marRight w:val="0"/>
                          <w:marTop w:val="0"/>
                          <w:marBottom w:val="0"/>
                          <w:divBdr>
                            <w:top w:val="none" w:sz="0" w:space="0" w:color="auto"/>
                            <w:left w:val="none" w:sz="0" w:space="0" w:color="auto"/>
                            <w:bottom w:val="none" w:sz="0" w:space="0" w:color="auto"/>
                            <w:right w:val="none" w:sz="0" w:space="0" w:color="auto"/>
                          </w:divBdr>
                        </w:div>
                      </w:divsChild>
                    </w:div>
                    <w:div w:id="1044403643">
                      <w:marLeft w:val="0"/>
                      <w:marRight w:val="0"/>
                      <w:marTop w:val="0"/>
                      <w:marBottom w:val="0"/>
                      <w:divBdr>
                        <w:top w:val="none" w:sz="0" w:space="0" w:color="auto"/>
                        <w:left w:val="none" w:sz="0" w:space="0" w:color="auto"/>
                        <w:bottom w:val="none" w:sz="0" w:space="0" w:color="auto"/>
                        <w:right w:val="none" w:sz="0" w:space="0" w:color="auto"/>
                      </w:divBdr>
                      <w:divsChild>
                        <w:div w:id="1904367700">
                          <w:marLeft w:val="0"/>
                          <w:marRight w:val="0"/>
                          <w:marTop w:val="120"/>
                          <w:marBottom w:val="0"/>
                          <w:divBdr>
                            <w:top w:val="none" w:sz="0" w:space="0" w:color="auto"/>
                            <w:left w:val="none" w:sz="0" w:space="0" w:color="auto"/>
                            <w:bottom w:val="none" w:sz="0" w:space="0" w:color="auto"/>
                            <w:right w:val="none" w:sz="0" w:space="0" w:color="auto"/>
                          </w:divBdr>
                        </w:div>
                        <w:div w:id="1032148913">
                          <w:marLeft w:val="0"/>
                          <w:marRight w:val="0"/>
                          <w:marTop w:val="0"/>
                          <w:marBottom w:val="0"/>
                          <w:divBdr>
                            <w:top w:val="none" w:sz="0" w:space="0" w:color="auto"/>
                            <w:left w:val="none" w:sz="0" w:space="0" w:color="auto"/>
                            <w:bottom w:val="none" w:sz="0" w:space="0" w:color="auto"/>
                            <w:right w:val="none" w:sz="0" w:space="0" w:color="auto"/>
                          </w:divBdr>
                        </w:div>
                      </w:divsChild>
                    </w:div>
                    <w:div w:id="120392868">
                      <w:marLeft w:val="0"/>
                      <w:marRight w:val="0"/>
                      <w:marTop w:val="0"/>
                      <w:marBottom w:val="0"/>
                      <w:divBdr>
                        <w:top w:val="none" w:sz="0" w:space="0" w:color="auto"/>
                        <w:left w:val="none" w:sz="0" w:space="0" w:color="auto"/>
                        <w:bottom w:val="none" w:sz="0" w:space="0" w:color="auto"/>
                        <w:right w:val="none" w:sz="0" w:space="0" w:color="auto"/>
                      </w:divBdr>
                      <w:divsChild>
                        <w:div w:id="1990937827">
                          <w:marLeft w:val="0"/>
                          <w:marRight w:val="0"/>
                          <w:marTop w:val="120"/>
                          <w:marBottom w:val="0"/>
                          <w:divBdr>
                            <w:top w:val="none" w:sz="0" w:space="0" w:color="auto"/>
                            <w:left w:val="none" w:sz="0" w:space="0" w:color="auto"/>
                            <w:bottom w:val="none" w:sz="0" w:space="0" w:color="auto"/>
                            <w:right w:val="none" w:sz="0" w:space="0" w:color="auto"/>
                          </w:divBdr>
                        </w:div>
                        <w:div w:id="1316760035">
                          <w:marLeft w:val="0"/>
                          <w:marRight w:val="0"/>
                          <w:marTop w:val="0"/>
                          <w:marBottom w:val="0"/>
                          <w:divBdr>
                            <w:top w:val="none" w:sz="0" w:space="0" w:color="auto"/>
                            <w:left w:val="none" w:sz="0" w:space="0" w:color="auto"/>
                            <w:bottom w:val="none" w:sz="0" w:space="0" w:color="auto"/>
                            <w:right w:val="none" w:sz="0" w:space="0" w:color="auto"/>
                          </w:divBdr>
                        </w:div>
                      </w:divsChild>
                    </w:div>
                    <w:div w:id="881476686">
                      <w:marLeft w:val="0"/>
                      <w:marRight w:val="0"/>
                      <w:marTop w:val="0"/>
                      <w:marBottom w:val="0"/>
                      <w:divBdr>
                        <w:top w:val="none" w:sz="0" w:space="0" w:color="auto"/>
                        <w:left w:val="none" w:sz="0" w:space="0" w:color="auto"/>
                        <w:bottom w:val="none" w:sz="0" w:space="0" w:color="auto"/>
                        <w:right w:val="none" w:sz="0" w:space="0" w:color="auto"/>
                      </w:divBdr>
                      <w:divsChild>
                        <w:div w:id="2100179258">
                          <w:marLeft w:val="0"/>
                          <w:marRight w:val="0"/>
                          <w:marTop w:val="120"/>
                          <w:marBottom w:val="0"/>
                          <w:divBdr>
                            <w:top w:val="none" w:sz="0" w:space="0" w:color="auto"/>
                            <w:left w:val="none" w:sz="0" w:space="0" w:color="auto"/>
                            <w:bottom w:val="none" w:sz="0" w:space="0" w:color="auto"/>
                            <w:right w:val="none" w:sz="0" w:space="0" w:color="auto"/>
                          </w:divBdr>
                        </w:div>
                        <w:div w:id="392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7862">
              <w:marLeft w:val="0"/>
              <w:marRight w:val="0"/>
              <w:marTop w:val="0"/>
              <w:marBottom w:val="0"/>
              <w:divBdr>
                <w:top w:val="none" w:sz="0" w:space="0" w:color="auto"/>
                <w:left w:val="none" w:sz="0" w:space="0" w:color="auto"/>
                <w:bottom w:val="none" w:sz="0" w:space="0" w:color="auto"/>
                <w:right w:val="none" w:sz="0" w:space="0" w:color="auto"/>
              </w:divBdr>
              <w:divsChild>
                <w:div w:id="476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07018">
      <w:bodyDiv w:val="1"/>
      <w:marLeft w:val="0"/>
      <w:marRight w:val="0"/>
      <w:marTop w:val="0"/>
      <w:marBottom w:val="0"/>
      <w:divBdr>
        <w:top w:val="none" w:sz="0" w:space="0" w:color="auto"/>
        <w:left w:val="none" w:sz="0" w:space="0" w:color="auto"/>
        <w:bottom w:val="none" w:sz="0" w:space="0" w:color="auto"/>
        <w:right w:val="none" w:sz="0" w:space="0" w:color="auto"/>
      </w:divBdr>
      <w:divsChild>
        <w:div w:id="292250968">
          <w:marLeft w:val="0"/>
          <w:marRight w:val="0"/>
          <w:marTop w:val="0"/>
          <w:marBottom w:val="0"/>
          <w:divBdr>
            <w:top w:val="none" w:sz="0" w:space="0" w:color="auto"/>
            <w:left w:val="none" w:sz="0" w:space="0" w:color="auto"/>
            <w:bottom w:val="none" w:sz="0" w:space="0" w:color="auto"/>
            <w:right w:val="none" w:sz="0" w:space="0" w:color="auto"/>
          </w:divBdr>
        </w:div>
        <w:div w:id="488323909">
          <w:marLeft w:val="0"/>
          <w:marRight w:val="0"/>
          <w:marTop w:val="0"/>
          <w:marBottom w:val="0"/>
          <w:divBdr>
            <w:top w:val="none" w:sz="0" w:space="0" w:color="auto"/>
            <w:left w:val="none" w:sz="0" w:space="0" w:color="auto"/>
            <w:bottom w:val="none" w:sz="0" w:space="0" w:color="auto"/>
            <w:right w:val="none" w:sz="0" w:space="0" w:color="auto"/>
          </w:divBdr>
          <w:divsChild>
            <w:div w:id="1034304347">
              <w:marLeft w:val="0"/>
              <w:marRight w:val="0"/>
              <w:marTop w:val="0"/>
              <w:marBottom w:val="0"/>
              <w:divBdr>
                <w:top w:val="none" w:sz="0" w:space="0" w:color="auto"/>
                <w:left w:val="none" w:sz="0" w:space="0" w:color="auto"/>
                <w:bottom w:val="none" w:sz="0" w:space="0" w:color="auto"/>
                <w:right w:val="none" w:sz="0" w:space="0" w:color="auto"/>
              </w:divBdr>
              <w:divsChild>
                <w:div w:id="975377750">
                  <w:marLeft w:val="0"/>
                  <w:marRight w:val="0"/>
                  <w:marTop w:val="0"/>
                  <w:marBottom w:val="0"/>
                  <w:divBdr>
                    <w:top w:val="none" w:sz="0" w:space="0" w:color="auto"/>
                    <w:left w:val="none" w:sz="0" w:space="0" w:color="auto"/>
                    <w:bottom w:val="none" w:sz="0" w:space="0" w:color="auto"/>
                    <w:right w:val="none" w:sz="0" w:space="0" w:color="auto"/>
                  </w:divBdr>
                  <w:divsChild>
                    <w:div w:id="270433128">
                      <w:marLeft w:val="0"/>
                      <w:marRight w:val="0"/>
                      <w:marTop w:val="120"/>
                      <w:marBottom w:val="0"/>
                      <w:divBdr>
                        <w:top w:val="none" w:sz="0" w:space="0" w:color="auto"/>
                        <w:left w:val="none" w:sz="0" w:space="0" w:color="auto"/>
                        <w:bottom w:val="none" w:sz="0" w:space="0" w:color="auto"/>
                        <w:right w:val="none" w:sz="0" w:space="0" w:color="auto"/>
                      </w:divBdr>
                    </w:div>
                    <w:div w:id="1901553029">
                      <w:marLeft w:val="0"/>
                      <w:marRight w:val="0"/>
                      <w:marTop w:val="0"/>
                      <w:marBottom w:val="0"/>
                      <w:divBdr>
                        <w:top w:val="none" w:sz="0" w:space="0" w:color="auto"/>
                        <w:left w:val="none" w:sz="0" w:space="0" w:color="auto"/>
                        <w:bottom w:val="none" w:sz="0" w:space="0" w:color="auto"/>
                        <w:right w:val="none" w:sz="0" w:space="0" w:color="auto"/>
                      </w:divBdr>
                    </w:div>
                  </w:divsChild>
                </w:div>
                <w:div w:id="2057049870">
                  <w:marLeft w:val="0"/>
                  <w:marRight w:val="0"/>
                  <w:marTop w:val="0"/>
                  <w:marBottom w:val="0"/>
                  <w:divBdr>
                    <w:top w:val="none" w:sz="0" w:space="0" w:color="auto"/>
                    <w:left w:val="none" w:sz="0" w:space="0" w:color="auto"/>
                    <w:bottom w:val="none" w:sz="0" w:space="0" w:color="auto"/>
                    <w:right w:val="none" w:sz="0" w:space="0" w:color="auto"/>
                  </w:divBdr>
                  <w:divsChild>
                    <w:div w:id="252326206">
                      <w:marLeft w:val="0"/>
                      <w:marRight w:val="0"/>
                      <w:marTop w:val="120"/>
                      <w:marBottom w:val="0"/>
                      <w:divBdr>
                        <w:top w:val="none" w:sz="0" w:space="0" w:color="auto"/>
                        <w:left w:val="none" w:sz="0" w:space="0" w:color="auto"/>
                        <w:bottom w:val="none" w:sz="0" w:space="0" w:color="auto"/>
                        <w:right w:val="none" w:sz="0" w:space="0" w:color="auto"/>
                      </w:divBdr>
                    </w:div>
                    <w:div w:id="610091276">
                      <w:marLeft w:val="0"/>
                      <w:marRight w:val="0"/>
                      <w:marTop w:val="0"/>
                      <w:marBottom w:val="0"/>
                      <w:divBdr>
                        <w:top w:val="none" w:sz="0" w:space="0" w:color="auto"/>
                        <w:left w:val="none" w:sz="0" w:space="0" w:color="auto"/>
                        <w:bottom w:val="none" w:sz="0" w:space="0" w:color="auto"/>
                        <w:right w:val="none" w:sz="0" w:space="0" w:color="auto"/>
                      </w:divBdr>
                    </w:div>
                  </w:divsChild>
                </w:div>
                <w:div w:id="254171738">
                  <w:marLeft w:val="0"/>
                  <w:marRight w:val="0"/>
                  <w:marTop w:val="0"/>
                  <w:marBottom w:val="0"/>
                  <w:divBdr>
                    <w:top w:val="none" w:sz="0" w:space="0" w:color="auto"/>
                    <w:left w:val="none" w:sz="0" w:space="0" w:color="auto"/>
                    <w:bottom w:val="none" w:sz="0" w:space="0" w:color="auto"/>
                    <w:right w:val="none" w:sz="0" w:space="0" w:color="auto"/>
                  </w:divBdr>
                  <w:divsChild>
                    <w:div w:id="309209554">
                      <w:marLeft w:val="0"/>
                      <w:marRight w:val="0"/>
                      <w:marTop w:val="120"/>
                      <w:marBottom w:val="0"/>
                      <w:divBdr>
                        <w:top w:val="none" w:sz="0" w:space="0" w:color="auto"/>
                        <w:left w:val="none" w:sz="0" w:space="0" w:color="auto"/>
                        <w:bottom w:val="none" w:sz="0" w:space="0" w:color="auto"/>
                        <w:right w:val="none" w:sz="0" w:space="0" w:color="auto"/>
                      </w:divBdr>
                    </w:div>
                    <w:div w:id="1786972">
                      <w:marLeft w:val="0"/>
                      <w:marRight w:val="0"/>
                      <w:marTop w:val="0"/>
                      <w:marBottom w:val="0"/>
                      <w:divBdr>
                        <w:top w:val="none" w:sz="0" w:space="0" w:color="auto"/>
                        <w:left w:val="none" w:sz="0" w:space="0" w:color="auto"/>
                        <w:bottom w:val="none" w:sz="0" w:space="0" w:color="auto"/>
                        <w:right w:val="none" w:sz="0" w:space="0" w:color="auto"/>
                      </w:divBdr>
                    </w:div>
                  </w:divsChild>
                </w:div>
                <w:div w:id="1407921408">
                  <w:marLeft w:val="0"/>
                  <w:marRight w:val="0"/>
                  <w:marTop w:val="0"/>
                  <w:marBottom w:val="0"/>
                  <w:divBdr>
                    <w:top w:val="none" w:sz="0" w:space="0" w:color="auto"/>
                    <w:left w:val="none" w:sz="0" w:space="0" w:color="auto"/>
                    <w:bottom w:val="none" w:sz="0" w:space="0" w:color="auto"/>
                    <w:right w:val="none" w:sz="0" w:space="0" w:color="auto"/>
                  </w:divBdr>
                  <w:divsChild>
                    <w:div w:id="1190727835">
                      <w:marLeft w:val="0"/>
                      <w:marRight w:val="0"/>
                      <w:marTop w:val="120"/>
                      <w:marBottom w:val="0"/>
                      <w:divBdr>
                        <w:top w:val="none" w:sz="0" w:space="0" w:color="auto"/>
                        <w:left w:val="none" w:sz="0" w:space="0" w:color="auto"/>
                        <w:bottom w:val="none" w:sz="0" w:space="0" w:color="auto"/>
                        <w:right w:val="none" w:sz="0" w:space="0" w:color="auto"/>
                      </w:divBdr>
                    </w:div>
                    <w:div w:id="524248553">
                      <w:marLeft w:val="0"/>
                      <w:marRight w:val="0"/>
                      <w:marTop w:val="0"/>
                      <w:marBottom w:val="0"/>
                      <w:divBdr>
                        <w:top w:val="none" w:sz="0" w:space="0" w:color="auto"/>
                        <w:left w:val="none" w:sz="0" w:space="0" w:color="auto"/>
                        <w:bottom w:val="none" w:sz="0" w:space="0" w:color="auto"/>
                        <w:right w:val="none" w:sz="0" w:space="0" w:color="auto"/>
                      </w:divBdr>
                    </w:div>
                  </w:divsChild>
                </w:div>
                <w:div w:id="229120025">
                  <w:marLeft w:val="0"/>
                  <w:marRight w:val="0"/>
                  <w:marTop w:val="0"/>
                  <w:marBottom w:val="0"/>
                  <w:divBdr>
                    <w:top w:val="none" w:sz="0" w:space="0" w:color="auto"/>
                    <w:left w:val="none" w:sz="0" w:space="0" w:color="auto"/>
                    <w:bottom w:val="none" w:sz="0" w:space="0" w:color="auto"/>
                    <w:right w:val="none" w:sz="0" w:space="0" w:color="auto"/>
                  </w:divBdr>
                  <w:divsChild>
                    <w:div w:id="1864201057">
                      <w:marLeft w:val="0"/>
                      <w:marRight w:val="0"/>
                      <w:marTop w:val="120"/>
                      <w:marBottom w:val="0"/>
                      <w:divBdr>
                        <w:top w:val="none" w:sz="0" w:space="0" w:color="auto"/>
                        <w:left w:val="none" w:sz="0" w:space="0" w:color="auto"/>
                        <w:bottom w:val="none" w:sz="0" w:space="0" w:color="auto"/>
                        <w:right w:val="none" w:sz="0" w:space="0" w:color="auto"/>
                      </w:divBdr>
                    </w:div>
                    <w:div w:id="138809752">
                      <w:marLeft w:val="0"/>
                      <w:marRight w:val="0"/>
                      <w:marTop w:val="0"/>
                      <w:marBottom w:val="0"/>
                      <w:divBdr>
                        <w:top w:val="none" w:sz="0" w:space="0" w:color="auto"/>
                        <w:left w:val="none" w:sz="0" w:space="0" w:color="auto"/>
                        <w:bottom w:val="none" w:sz="0" w:space="0" w:color="auto"/>
                        <w:right w:val="none" w:sz="0" w:space="0" w:color="auto"/>
                      </w:divBdr>
                    </w:div>
                  </w:divsChild>
                </w:div>
                <w:div w:id="1499157236">
                  <w:marLeft w:val="0"/>
                  <w:marRight w:val="0"/>
                  <w:marTop w:val="0"/>
                  <w:marBottom w:val="0"/>
                  <w:divBdr>
                    <w:top w:val="none" w:sz="0" w:space="0" w:color="auto"/>
                    <w:left w:val="none" w:sz="0" w:space="0" w:color="auto"/>
                    <w:bottom w:val="none" w:sz="0" w:space="0" w:color="auto"/>
                    <w:right w:val="none" w:sz="0" w:space="0" w:color="auto"/>
                  </w:divBdr>
                  <w:divsChild>
                    <w:div w:id="7215784">
                      <w:marLeft w:val="0"/>
                      <w:marRight w:val="0"/>
                      <w:marTop w:val="120"/>
                      <w:marBottom w:val="0"/>
                      <w:divBdr>
                        <w:top w:val="none" w:sz="0" w:space="0" w:color="auto"/>
                        <w:left w:val="none" w:sz="0" w:space="0" w:color="auto"/>
                        <w:bottom w:val="none" w:sz="0" w:space="0" w:color="auto"/>
                        <w:right w:val="none" w:sz="0" w:space="0" w:color="auto"/>
                      </w:divBdr>
                    </w:div>
                    <w:div w:id="674964284">
                      <w:marLeft w:val="0"/>
                      <w:marRight w:val="0"/>
                      <w:marTop w:val="0"/>
                      <w:marBottom w:val="0"/>
                      <w:divBdr>
                        <w:top w:val="none" w:sz="0" w:space="0" w:color="auto"/>
                        <w:left w:val="none" w:sz="0" w:space="0" w:color="auto"/>
                        <w:bottom w:val="none" w:sz="0" w:space="0" w:color="auto"/>
                        <w:right w:val="none" w:sz="0" w:space="0" w:color="auto"/>
                      </w:divBdr>
                    </w:div>
                  </w:divsChild>
                </w:div>
                <w:div w:id="1841386833">
                  <w:marLeft w:val="0"/>
                  <w:marRight w:val="0"/>
                  <w:marTop w:val="0"/>
                  <w:marBottom w:val="0"/>
                  <w:divBdr>
                    <w:top w:val="none" w:sz="0" w:space="0" w:color="auto"/>
                    <w:left w:val="none" w:sz="0" w:space="0" w:color="auto"/>
                    <w:bottom w:val="none" w:sz="0" w:space="0" w:color="auto"/>
                    <w:right w:val="none" w:sz="0" w:space="0" w:color="auto"/>
                  </w:divBdr>
                  <w:divsChild>
                    <w:div w:id="2042314565">
                      <w:marLeft w:val="0"/>
                      <w:marRight w:val="0"/>
                      <w:marTop w:val="120"/>
                      <w:marBottom w:val="0"/>
                      <w:divBdr>
                        <w:top w:val="none" w:sz="0" w:space="0" w:color="auto"/>
                        <w:left w:val="none" w:sz="0" w:space="0" w:color="auto"/>
                        <w:bottom w:val="none" w:sz="0" w:space="0" w:color="auto"/>
                        <w:right w:val="none" w:sz="0" w:space="0" w:color="auto"/>
                      </w:divBdr>
                    </w:div>
                    <w:div w:id="1557474016">
                      <w:marLeft w:val="0"/>
                      <w:marRight w:val="0"/>
                      <w:marTop w:val="0"/>
                      <w:marBottom w:val="0"/>
                      <w:divBdr>
                        <w:top w:val="none" w:sz="0" w:space="0" w:color="auto"/>
                        <w:left w:val="none" w:sz="0" w:space="0" w:color="auto"/>
                        <w:bottom w:val="none" w:sz="0" w:space="0" w:color="auto"/>
                        <w:right w:val="none" w:sz="0" w:space="0" w:color="auto"/>
                      </w:divBdr>
                    </w:div>
                  </w:divsChild>
                </w:div>
                <w:div w:id="1187911920">
                  <w:marLeft w:val="0"/>
                  <w:marRight w:val="0"/>
                  <w:marTop w:val="0"/>
                  <w:marBottom w:val="0"/>
                  <w:divBdr>
                    <w:top w:val="none" w:sz="0" w:space="0" w:color="auto"/>
                    <w:left w:val="none" w:sz="0" w:space="0" w:color="auto"/>
                    <w:bottom w:val="none" w:sz="0" w:space="0" w:color="auto"/>
                    <w:right w:val="none" w:sz="0" w:space="0" w:color="auto"/>
                  </w:divBdr>
                  <w:divsChild>
                    <w:div w:id="909464679">
                      <w:marLeft w:val="0"/>
                      <w:marRight w:val="0"/>
                      <w:marTop w:val="120"/>
                      <w:marBottom w:val="0"/>
                      <w:divBdr>
                        <w:top w:val="none" w:sz="0" w:space="0" w:color="auto"/>
                        <w:left w:val="none" w:sz="0" w:space="0" w:color="auto"/>
                        <w:bottom w:val="none" w:sz="0" w:space="0" w:color="auto"/>
                        <w:right w:val="none" w:sz="0" w:space="0" w:color="auto"/>
                      </w:divBdr>
                    </w:div>
                    <w:div w:id="340593783">
                      <w:marLeft w:val="0"/>
                      <w:marRight w:val="0"/>
                      <w:marTop w:val="0"/>
                      <w:marBottom w:val="0"/>
                      <w:divBdr>
                        <w:top w:val="none" w:sz="0" w:space="0" w:color="auto"/>
                        <w:left w:val="none" w:sz="0" w:space="0" w:color="auto"/>
                        <w:bottom w:val="none" w:sz="0" w:space="0" w:color="auto"/>
                        <w:right w:val="none" w:sz="0" w:space="0" w:color="auto"/>
                      </w:divBdr>
                    </w:div>
                  </w:divsChild>
                </w:div>
                <w:div w:id="984816653">
                  <w:marLeft w:val="0"/>
                  <w:marRight w:val="0"/>
                  <w:marTop w:val="0"/>
                  <w:marBottom w:val="0"/>
                  <w:divBdr>
                    <w:top w:val="none" w:sz="0" w:space="0" w:color="auto"/>
                    <w:left w:val="none" w:sz="0" w:space="0" w:color="auto"/>
                    <w:bottom w:val="none" w:sz="0" w:space="0" w:color="auto"/>
                    <w:right w:val="none" w:sz="0" w:space="0" w:color="auto"/>
                  </w:divBdr>
                  <w:divsChild>
                    <w:div w:id="1085568205">
                      <w:marLeft w:val="0"/>
                      <w:marRight w:val="0"/>
                      <w:marTop w:val="120"/>
                      <w:marBottom w:val="0"/>
                      <w:divBdr>
                        <w:top w:val="none" w:sz="0" w:space="0" w:color="auto"/>
                        <w:left w:val="none" w:sz="0" w:space="0" w:color="auto"/>
                        <w:bottom w:val="none" w:sz="0" w:space="0" w:color="auto"/>
                        <w:right w:val="none" w:sz="0" w:space="0" w:color="auto"/>
                      </w:divBdr>
                    </w:div>
                    <w:div w:id="219170866">
                      <w:marLeft w:val="0"/>
                      <w:marRight w:val="0"/>
                      <w:marTop w:val="0"/>
                      <w:marBottom w:val="0"/>
                      <w:divBdr>
                        <w:top w:val="none" w:sz="0" w:space="0" w:color="auto"/>
                        <w:left w:val="none" w:sz="0" w:space="0" w:color="auto"/>
                        <w:bottom w:val="none" w:sz="0" w:space="0" w:color="auto"/>
                        <w:right w:val="none" w:sz="0" w:space="0" w:color="auto"/>
                      </w:divBdr>
                    </w:div>
                  </w:divsChild>
                </w:div>
                <w:div w:id="1961958275">
                  <w:marLeft w:val="0"/>
                  <w:marRight w:val="0"/>
                  <w:marTop w:val="0"/>
                  <w:marBottom w:val="0"/>
                  <w:divBdr>
                    <w:top w:val="none" w:sz="0" w:space="0" w:color="auto"/>
                    <w:left w:val="none" w:sz="0" w:space="0" w:color="auto"/>
                    <w:bottom w:val="none" w:sz="0" w:space="0" w:color="auto"/>
                    <w:right w:val="none" w:sz="0" w:space="0" w:color="auto"/>
                  </w:divBdr>
                  <w:divsChild>
                    <w:div w:id="608588284">
                      <w:marLeft w:val="0"/>
                      <w:marRight w:val="0"/>
                      <w:marTop w:val="120"/>
                      <w:marBottom w:val="0"/>
                      <w:divBdr>
                        <w:top w:val="none" w:sz="0" w:space="0" w:color="auto"/>
                        <w:left w:val="none" w:sz="0" w:space="0" w:color="auto"/>
                        <w:bottom w:val="none" w:sz="0" w:space="0" w:color="auto"/>
                        <w:right w:val="none" w:sz="0" w:space="0" w:color="auto"/>
                      </w:divBdr>
                    </w:div>
                    <w:div w:id="1061559674">
                      <w:marLeft w:val="0"/>
                      <w:marRight w:val="0"/>
                      <w:marTop w:val="0"/>
                      <w:marBottom w:val="0"/>
                      <w:divBdr>
                        <w:top w:val="none" w:sz="0" w:space="0" w:color="auto"/>
                        <w:left w:val="none" w:sz="0" w:space="0" w:color="auto"/>
                        <w:bottom w:val="none" w:sz="0" w:space="0" w:color="auto"/>
                        <w:right w:val="none" w:sz="0" w:space="0" w:color="auto"/>
                      </w:divBdr>
                    </w:div>
                  </w:divsChild>
                </w:div>
                <w:div w:id="296689831">
                  <w:marLeft w:val="0"/>
                  <w:marRight w:val="0"/>
                  <w:marTop w:val="0"/>
                  <w:marBottom w:val="0"/>
                  <w:divBdr>
                    <w:top w:val="none" w:sz="0" w:space="0" w:color="auto"/>
                    <w:left w:val="none" w:sz="0" w:space="0" w:color="auto"/>
                    <w:bottom w:val="none" w:sz="0" w:space="0" w:color="auto"/>
                    <w:right w:val="none" w:sz="0" w:space="0" w:color="auto"/>
                  </w:divBdr>
                  <w:divsChild>
                    <w:div w:id="1907566146">
                      <w:marLeft w:val="0"/>
                      <w:marRight w:val="0"/>
                      <w:marTop w:val="120"/>
                      <w:marBottom w:val="0"/>
                      <w:divBdr>
                        <w:top w:val="none" w:sz="0" w:space="0" w:color="auto"/>
                        <w:left w:val="none" w:sz="0" w:space="0" w:color="auto"/>
                        <w:bottom w:val="none" w:sz="0" w:space="0" w:color="auto"/>
                        <w:right w:val="none" w:sz="0" w:space="0" w:color="auto"/>
                      </w:divBdr>
                    </w:div>
                    <w:div w:id="1295524283">
                      <w:marLeft w:val="0"/>
                      <w:marRight w:val="0"/>
                      <w:marTop w:val="0"/>
                      <w:marBottom w:val="0"/>
                      <w:divBdr>
                        <w:top w:val="none" w:sz="0" w:space="0" w:color="auto"/>
                        <w:left w:val="none" w:sz="0" w:space="0" w:color="auto"/>
                        <w:bottom w:val="none" w:sz="0" w:space="0" w:color="auto"/>
                        <w:right w:val="none" w:sz="0" w:space="0" w:color="auto"/>
                      </w:divBdr>
                    </w:div>
                  </w:divsChild>
                </w:div>
                <w:div w:id="198081936">
                  <w:marLeft w:val="0"/>
                  <w:marRight w:val="0"/>
                  <w:marTop w:val="0"/>
                  <w:marBottom w:val="0"/>
                  <w:divBdr>
                    <w:top w:val="none" w:sz="0" w:space="0" w:color="auto"/>
                    <w:left w:val="none" w:sz="0" w:space="0" w:color="auto"/>
                    <w:bottom w:val="none" w:sz="0" w:space="0" w:color="auto"/>
                    <w:right w:val="none" w:sz="0" w:space="0" w:color="auto"/>
                  </w:divBdr>
                  <w:divsChild>
                    <w:div w:id="862011513">
                      <w:marLeft w:val="0"/>
                      <w:marRight w:val="0"/>
                      <w:marTop w:val="120"/>
                      <w:marBottom w:val="0"/>
                      <w:divBdr>
                        <w:top w:val="none" w:sz="0" w:space="0" w:color="auto"/>
                        <w:left w:val="none" w:sz="0" w:space="0" w:color="auto"/>
                        <w:bottom w:val="none" w:sz="0" w:space="0" w:color="auto"/>
                        <w:right w:val="none" w:sz="0" w:space="0" w:color="auto"/>
                      </w:divBdr>
                    </w:div>
                    <w:div w:id="1961183985">
                      <w:marLeft w:val="0"/>
                      <w:marRight w:val="0"/>
                      <w:marTop w:val="0"/>
                      <w:marBottom w:val="0"/>
                      <w:divBdr>
                        <w:top w:val="none" w:sz="0" w:space="0" w:color="auto"/>
                        <w:left w:val="none" w:sz="0" w:space="0" w:color="auto"/>
                        <w:bottom w:val="none" w:sz="0" w:space="0" w:color="auto"/>
                        <w:right w:val="none" w:sz="0" w:space="0" w:color="auto"/>
                      </w:divBdr>
                    </w:div>
                  </w:divsChild>
                </w:div>
                <w:div w:id="838547089">
                  <w:marLeft w:val="0"/>
                  <w:marRight w:val="0"/>
                  <w:marTop w:val="0"/>
                  <w:marBottom w:val="0"/>
                  <w:divBdr>
                    <w:top w:val="none" w:sz="0" w:space="0" w:color="auto"/>
                    <w:left w:val="none" w:sz="0" w:space="0" w:color="auto"/>
                    <w:bottom w:val="none" w:sz="0" w:space="0" w:color="auto"/>
                    <w:right w:val="none" w:sz="0" w:space="0" w:color="auto"/>
                  </w:divBdr>
                  <w:divsChild>
                    <w:div w:id="1034695306">
                      <w:marLeft w:val="0"/>
                      <w:marRight w:val="0"/>
                      <w:marTop w:val="120"/>
                      <w:marBottom w:val="0"/>
                      <w:divBdr>
                        <w:top w:val="none" w:sz="0" w:space="0" w:color="auto"/>
                        <w:left w:val="none" w:sz="0" w:space="0" w:color="auto"/>
                        <w:bottom w:val="none" w:sz="0" w:space="0" w:color="auto"/>
                        <w:right w:val="none" w:sz="0" w:space="0" w:color="auto"/>
                      </w:divBdr>
                    </w:div>
                    <w:div w:id="1985233295">
                      <w:marLeft w:val="0"/>
                      <w:marRight w:val="0"/>
                      <w:marTop w:val="0"/>
                      <w:marBottom w:val="0"/>
                      <w:divBdr>
                        <w:top w:val="none" w:sz="0" w:space="0" w:color="auto"/>
                        <w:left w:val="none" w:sz="0" w:space="0" w:color="auto"/>
                        <w:bottom w:val="none" w:sz="0" w:space="0" w:color="auto"/>
                        <w:right w:val="none" w:sz="0" w:space="0" w:color="auto"/>
                      </w:divBdr>
                    </w:div>
                  </w:divsChild>
                </w:div>
                <w:div w:id="242104086">
                  <w:marLeft w:val="0"/>
                  <w:marRight w:val="0"/>
                  <w:marTop w:val="0"/>
                  <w:marBottom w:val="0"/>
                  <w:divBdr>
                    <w:top w:val="none" w:sz="0" w:space="0" w:color="auto"/>
                    <w:left w:val="none" w:sz="0" w:space="0" w:color="auto"/>
                    <w:bottom w:val="none" w:sz="0" w:space="0" w:color="auto"/>
                    <w:right w:val="none" w:sz="0" w:space="0" w:color="auto"/>
                  </w:divBdr>
                  <w:divsChild>
                    <w:div w:id="1790777315">
                      <w:marLeft w:val="0"/>
                      <w:marRight w:val="0"/>
                      <w:marTop w:val="120"/>
                      <w:marBottom w:val="0"/>
                      <w:divBdr>
                        <w:top w:val="none" w:sz="0" w:space="0" w:color="auto"/>
                        <w:left w:val="none" w:sz="0" w:space="0" w:color="auto"/>
                        <w:bottom w:val="none" w:sz="0" w:space="0" w:color="auto"/>
                        <w:right w:val="none" w:sz="0" w:space="0" w:color="auto"/>
                      </w:divBdr>
                    </w:div>
                    <w:div w:id="2100825836">
                      <w:marLeft w:val="0"/>
                      <w:marRight w:val="0"/>
                      <w:marTop w:val="0"/>
                      <w:marBottom w:val="0"/>
                      <w:divBdr>
                        <w:top w:val="none" w:sz="0" w:space="0" w:color="auto"/>
                        <w:left w:val="none" w:sz="0" w:space="0" w:color="auto"/>
                        <w:bottom w:val="none" w:sz="0" w:space="0" w:color="auto"/>
                        <w:right w:val="none" w:sz="0" w:space="0" w:color="auto"/>
                      </w:divBdr>
                    </w:div>
                  </w:divsChild>
                </w:div>
                <w:div w:id="1336303227">
                  <w:marLeft w:val="0"/>
                  <w:marRight w:val="0"/>
                  <w:marTop w:val="0"/>
                  <w:marBottom w:val="0"/>
                  <w:divBdr>
                    <w:top w:val="none" w:sz="0" w:space="0" w:color="auto"/>
                    <w:left w:val="none" w:sz="0" w:space="0" w:color="auto"/>
                    <w:bottom w:val="none" w:sz="0" w:space="0" w:color="auto"/>
                    <w:right w:val="none" w:sz="0" w:space="0" w:color="auto"/>
                  </w:divBdr>
                  <w:divsChild>
                    <w:div w:id="1789739961">
                      <w:marLeft w:val="0"/>
                      <w:marRight w:val="0"/>
                      <w:marTop w:val="120"/>
                      <w:marBottom w:val="0"/>
                      <w:divBdr>
                        <w:top w:val="none" w:sz="0" w:space="0" w:color="auto"/>
                        <w:left w:val="none" w:sz="0" w:space="0" w:color="auto"/>
                        <w:bottom w:val="none" w:sz="0" w:space="0" w:color="auto"/>
                        <w:right w:val="none" w:sz="0" w:space="0" w:color="auto"/>
                      </w:divBdr>
                    </w:div>
                    <w:div w:id="92630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51675">
          <w:marLeft w:val="0"/>
          <w:marRight w:val="0"/>
          <w:marTop w:val="0"/>
          <w:marBottom w:val="0"/>
          <w:divBdr>
            <w:top w:val="none" w:sz="0" w:space="0" w:color="auto"/>
            <w:left w:val="none" w:sz="0" w:space="0" w:color="auto"/>
            <w:bottom w:val="none" w:sz="0" w:space="0" w:color="auto"/>
            <w:right w:val="none" w:sz="0" w:space="0" w:color="auto"/>
          </w:divBdr>
          <w:divsChild>
            <w:div w:id="1791699992">
              <w:marLeft w:val="0"/>
              <w:marRight w:val="0"/>
              <w:marTop w:val="0"/>
              <w:marBottom w:val="0"/>
              <w:divBdr>
                <w:top w:val="none" w:sz="0" w:space="0" w:color="auto"/>
                <w:left w:val="none" w:sz="0" w:space="0" w:color="auto"/>
                <w:bottom w:val="none" w:sz="0" w:space="0" w:color="auto"/>
                <w:right w:val="none" w:sz="0" w:space="0" w:color="auto"/>
              </w:divBdr>
            </w:div>
          </w:divsChild>
        </w:div>
        <w:div w:id="2113671933">
          <w:marLeft w:val="0"/>
          <w:marRight w:val="0"/>
          <w:marTop w:val="0"/>
          <w:marBottom w:val="0"/>
          <w:divBdr>
            <w:top w:val="none" w:sz="0" w:space="0" w:color="auto"/>
            <w:left w:val="none" w:sz="0" w:space="0" w:color="auto"/>
            <w:bottom w:val="none" w:sz="0" w:space="0" w:color="auto"/>
            <w:right w:val="none" w:sz="0" w:space="0" w:color="auto"/>
          </w:divBdr>
          <w:divsChild>
            <w:div w:id="17147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1740">
      <w:bodyDiv w:val="1"/>
      <w:marLeft w:val="0"/>
      <w:marRight w:val="0"/>
      <w:marTop w:val="0"/>
      <w:marBottom w:val="0"/>
      <w:divBdr>
        <w:top w:val="none" w:sz="0" w:space="0" w:color="auto"/>
        <w:left w:val="none" w:sz="0" w:space="0" w:color="auto"/>
        <w:bottom w:val="none" w:sz="0" w:space="0" w:color="auto"/>
        <w:right w:val="none" w:sz="0" w:space="0" w:color="auto"/>
      </w:divBdr>
      <w:divsChild>
        <w:div w:id="1724254780">
          <w:marLeft w:val="0"/>
          <w:marRight w:val="0"/>
          <w:marTop w:val="0"/>
          <w:marBottom w:val="0"/>
          <w:divBdr>
            <w:top w:val="none" w:sz="0" w:space="0" w:color="auto"/>
            <w:left w:val="none" w:sz="0" w:space="0" w:color="auto"/>
            <w:bottom w:val="none" w:sz="0" w:space="0" w:color="auto"/>
            <w:right w:val="none" w:sz="0" w:space="0" w:color="auto"/>
          </w:divBdr>
          <w:divsChild>
            <w:div w:id="2060780102">
              <w:marLeft w:val="0"/>
              <w:marRight w:val="0"/>
              <w:marTop w:val="0"/>
              <w:marBottom w:val="0"/>
              <w:divBdr>
                <w:top w:val="none" w:sz="0" w:space="0" w:color="auto"/>
                <w:left w:val="none" w:sz="0" w:space="0" w:color="auto"/>
                <w:bottom w:val="none" w:sz="0" w:space="0" w:color="auto"/>
                <w:right w:val="none" w:sz="0" w:space="0" w:color="auto"/>
              </w:divBdr>
            </w:div>
            <w:div w:id="97721489">
              <w:marLeft w:val="0"/>
              <w:marRight w:val="0"/>
              <w:marTop w:val="0"/>
              <w:marBottom w:val="0"/>
              <w:divBdr>
                <w:top w:val="none" w:sz="0" w:space="0" w:color="auto"/>
                <w:left w:val="none" w:sz="0" w:space="0" w:color="auto"/>
                <w:bottom w:val="none" w:sz="0" w:space="0" w:color="auto"/>
                <w:right w:val="none" w:sz="0" w:space="0" w:color="auto"/>
              </w:divBdr>
              <w:divsChild>
                <w:div w:id="1353730313">
                  <w:marLeft w:val="0"/>
                  <w:marRight w:val="0"/>
                  <w:marTop w:val="0"/>
                  <w:marBottom w:val="0"/>
                  <w:divBdr>
                    <w:top w:val="none" w:sz="0" w:space="0" w:color="auto"/>
                    <w:left w:val="none" w:sz="0" w:space="0" w:color="auto"/>
                    <w:bottom w:val="none" w:sz="0" w:space="0" w:color="auto"/>
                    <w:right w:val="none" w:sz="0" w:space="0" w:color="auto"/>
                  </w:divBdr>
                  <w:divsChild>
                    <w:div w:id="1792287488">
                      <w:marLeft w:val="0"/>
                      <w:marRight w:val="0"/>
                      <w:marTop w:val="0"/>
                      <w:marBottom w:val="0"/>
                      <w:divBdr>
                        <w:top w:val="none" w:sz="0" w:space="0" w:color="auto"/>
                        <w:left w:val="none" w:sz="0" w:space="0" w:color="auto"/>
                        <w:bottom w:val="none" w:sz="0" w:space="0" w:color="auto"/>
                        <w:right w:val="none" w:sz="0" w:space="0" w:color="auto"/>
                      </w:divBdr>
                      <w:divsChild>
                        <w:div w:id="1158158283">
                          <w:marLeft w:val="0"/>
                          <w:marRight w:val="0"/>
                          <w:marTop w:val="120"/>
                          <w:marBottom w:val="0"/>
                          <w:divBdr>
                            <w:top w:val="none" w:sz="0" w:space="0" w:color="auto"/>
                            <w:left w:val="none" w:sz="0" w:space="0" w:color="auto"/>
                            <w:bottom w:val="none" w:sz="0" w:space="0" w:color="auto"/>
                            <w:right w:val="none" w:sz="0" w:space="0" w:color="auto"/>
                          </w:divBdr>
                        </w:div>
                        <w:div w:id="1420440359">
                          <w:marLeft w:val="0"/>
                          <w:marRight w:val="0"/>
                          <w:marTop w:val="0"/>
                          <w:marBottom w:val="0"/>
                          <w:divBdr>
                            <w:top w:val="none" w:sz="0" w:space="0" w:color="auto"/>
                            <w:left w:val="none" w:sz="0" w:space="0" w:color="auto"/>
                            <w:bottom w:val="none" w:sz="0" w:space="0" w:color="auto"/>
                            <w:right w:val="none" w:sz="0" w:space="0" w:color="auto"/>
                          </w:divBdr>
                        </w:div>
                      </w:divsChild>
                    </w:div>
                    <w:div w:id="1760054398">
                      <w:marLeft w:val="0"/>
                      <w:marRight w:val="0"/>
                      <w:marTop w:val="0"/>
                      <w:marBottom w:val="0"/>
                      <w:divBdr>
                        <w:top w:val="none" w:sz="0" w:space="0" w:color="auto"/>
                        <w:left w:val="none" w:sz="0" w:space="0" w:color="auto"/>
                        <w:bottom w:val="none" w:sz="0" w:space="0" w:color="auto"/>
                        <w:right w:val="none" w:sz="0" w:space="0" w:color="auto"/>
                      </w:divBdr>
                      <w:divsChild>
                        <w:div w:id="1529681837">
                          <w:marLeft w:val="0"/>
                          <w:marRight w:val="0"/>
                          <w:marTop w:val="120"/>
                          <w:marBottom w:val="0"/>
                          <w:divBdr>
                            <w:top w:val="none" w:sz="0" w:space="0" w:color="auto"/>
                            <w:left w:val="none" w:sz="0" w:space="0" w:color="auto"/>
                            <w:bottom w:val="none" w:sz="0" w:space="0" w:color="auto"/>
                            <w:right w:val="none" w:sz="0" w:space="0" w:color="auto"/>
                          </w:divBdr>
                        </w:div>
                        <w:div w:id="1215628137">
                          <w:marLeft w:val="0"/>
                          <w:marRight w:val="0"/>
                          <w:marTop w:val="0"/>
                          <w:marBottom w:val="0"/>
                          <w:divBdr>
                            <w:top w:val="none" w:sz="0" w:space="0" w:color="auto"/>
                            <w:left w:val="none" w:sz="0" w:space="0" w:color="auto"/>
                            <w:bottom w:val="none" w:sz="0" w:space="0" w:color="auto"/>
                            <w:right w:val="none" w:sz="0" w:space="0" w:color="auto"/>
                          </w:divBdr>
                        </w:div>
                      </w:divsChild>
                    </w:div>
                    <w:div w:id="1607426827">
                      <w:marLeft w:val="0"/>
                      <w:marRight w:val="0"/>
                      <w:marTop w:val="0"/>
                      <w:marBottom w:val="0"/>
                      <w:divBdr>
                        <w:top w:val="none" w:sz="0" w:space="0" w:color="auto"/>
                        <w:left w:val="none" w:sz="0" w:space="0" w:color="auto"/>
                        <w:bottom w:val="none" w:sz="0" w:space="0" w:color="auto"/>
                        <w:right w:val="none" w:sz="0" w:space="0" w:color="auto"/>
                      </w:divBdr>
                      <w:divsChild>
                        <w:div w:id="537860095">
                          <w:marLeft w:val="0"/>
                          <w:marRight w:val="0"/>
                          <w:marTop w:val="120"/>
                          <w:marBottom w:val="0"/>
                          <w:divBdr>
                            <w:top w:val="none" w:sz="0" w:space="0" w:color="auto"/>
                            <w:left w:val="none" w:sz="0" w:space="0" w:color="auto"/>
                            <w:bottom w:val="none" w:sz="0" w:space="0" w:color="auto"/>
                            <w:right w:val="none" w:sz="0" w:space="0" w:color="auto"/>
                          </w:divBdr>
                        </w:div>
                        <w:div w:id="583996617">
                          <w:marLeft w:val="0"/>
                          <w:marRight w:val="0"/>
                          <w:marTop w:val="0"/>
                          <w:marBottom w:val="0"/>
                          <w:divBdr>
                            <w:top w:val="none" w:sz="0" w:space="0" w:color="auto"/>
                            <w:left w:val="none" w:sz="0" w:space="0" w:color="auto"/>
                            <w:bottom w:val="none" w:sz="0" w:space="0" w:color="auto"/>
                            <w:right w:val="none" w:sz="0" w:space="0" w:color="auto"/>
                          </w:divBdr>
                        </w:div>
                      </w:divsChild>
                    </w:div>
                    <w:div w:id="1553225997">
                      <w:marLeft w:val="0"/>
                      <w:marRight w:val="0"/>
                      <w:marTop w:val="0"/>
                      <w:marBottom w:val="0"/>
                      <w:divBdr>
                        <w:top w:val="none" w:sz="0" w:space="0" w:color="auto"/>
                        <w:left w:val="none" w:sz="0" w:space="0" w:color="auto"/>
                        <w:bottom w:val="none" w:sz="0" w:space="0" w:color="auto"/>
                        <w:right w:val="none" w:sz="0" w:space="0" w:color="auto"/>
                      </w:divBdr>
                      <w:divsChild>
                        <w:div w:id="1280405850">
                          <w:marLeft w:val="0"/>
                          <w:marRight w:val="0"/>
                          <w:marTop w:val="120"/>
                          <w:marBottom w:val="0"/>
                          <w:divBdr>
                            <w:top w:val="none" w:sz="0" w:space="0" w:color="auto"/>
                            <w:left w:val="none" w:sz="0" w:space="0" w:color="auto"/>
                            <w:bottom w:val="none" w:sz="0" w:space="0" w:color="auto"/>
                            <w:right w:val="none" w:sz="0" w:space="0" w:color="auto"/>
                          </w:divBdr>
                        </w:div>
                        <w:div w:id="1030913492">
                          <w:marLeft w:val="0"/>
                          <w:marRight w:val="0"/>
                          <w:marTop w:val="0"/>
                          <w:marBottom w:val="0"/>
                          <w:divBdr>
                            <w:top w:val="none" w:sz="0" w:space="0" w:color="auto"/>
                            <w:left w:val="none" w:sz="0" w:space="0" w:color="auto"/>
                            <w:bottom w:val="none" w:sz="0" w:space="0" w:color="auto"/>
                            <w:right w:val="none" w:sz="0" w:space="0" w:color="auto"/>
                          </w:divBdr>
                        </w:div>
                      </w:divsChild>
                    </w:div>
                    <w:div w:id="499005503">
                      <w:marLeft w:val="0"/>
                      <w:marRight w:val="0"/>
                      <w:marTop w:val="0"/>
                      <w:marBottom w:val="0"/>
                      <w:divBdr>
                        <w:top w:val="none" w:sz="0" w:space="0" w:color="auto"/>
                        <w:left w:val="none" w:sz="0" w:space="0" w:color="auto"/>
                        <w:bottom w:val="none" w:sz="0" w:space="0" w:color="auto"/>
                        <w:right w:val="none" w:sz="0" w:space="0" w:color="auto"/>
                      </w:divBdr>
                      <w:divsChild>
                        <w:div w:id="1503669011">
                          <w:marLeft w:val="0"/>
                          <w:marRight w:val="0"/>
                          <w:marTop w:val="120"/>
                          <w:marBottom w:val="0"/>
                          <w:divBdr>
                            <w:top w:val="none" w:sz="0" w:space="0" w:color="auto"/>
                            <w:left w:val="none" w:sz="0" w:space="0" w:color="auto"/>
                            <w:bottom w:val="none" w:sz="0" w:space="0" w:color="auto"/>
                            <w:right w:val="none" w:sz="0" w:space="0" w:color="auto"/>
                          </w:divBdr>
                        </w:div>
                        <w:div w:id="59983768">
                          <w:marLeft w:val="0"/>
                          <w:marRight w:val="0"/>
                          <w:marTop w:val="0"/>
                          <w:marBottom w:val="0"/>
                          <w:divBdr>
                            <w:top w:val="none" w:sz="0" w:space="0" w:color="auto"/>
                            <w:left w:val="none" w:sz="0" w:space="0" w:color="auto"/>
                            <w:bottom w:val="none" w:sz="0" w:space="0" w:color="auto"/>
                            <w:right w:val="none" w:sz="0" w:space="0" w:color="auto"/>
                          </w:divBdr>
                        </w:div>
                      </w:divsChild>
                    </w:div>
                    <w:div w:id="794301007">
                      <w:marLeft w:val="0"/>
                      <w:marRight w:val="0"/>
                      <w:marTop w:val="0"/>
                      <w:marBottom w:val="0"/>
                      <w:divBdr>
                        <w:top w:val="none" w:sz="0" w:space="0" w:color="auto"/>
                        <w:left w:val="none" w:sz="0" w:space="0" w:color="auto"/>
                        <w:bottom w:val="none" w:sz="0" w:space="0" w:color="auto"/>
                        <w:right w:val="none" w:sz="0" w:space="0" w:color="auto"/>
                      </w:divBdr>
                      <w:divsChild>
                        <w:div w:id="1899779445">
                          <w:marLeft w:val="0"/>
                          <w:marRight w:val="0"/>
                          <w:marTop w:val="120"/>
                          <w:marBottom w:val="0"/>
                          <w:divBdr>
                            <w:top w:val="none" w:sz="0" w:space="0" w:color="auto"/>
                            <w:left w:val="none" w:sz="0" w:space="0" w:color="auto"/>
                            <w:bottom w:val="none" w:sz="0" w:space="0" w:color="auto"/>
                            <w:right w:val="none" w:sz="0" w:space="0" w:color="auto"/>
                          </w:divBdr>
                        </w:div>
                        <w:div w:id="113670180">
                          <w:marLeft w:val="0"/>
                          <w:marRight w:val="0"/>
                          <w:marTop w:val="0"/>
                          <w:marBottom w:val="0"/>
                          <w:divBdr>
                            <w:top w:val="none" w:sz="0" w:space="0" w:color="auto"/>
                            <w:left w:val="none" w:sz="0" w:space="0" w:color="auto"/>
                            <w:bottom w:val="none" w:sz="0" w:space="0" w:color="auto"/>
                            <w:right w:val="none" w:sz="0" w:space="0" w:color="auto"/>
                          </w:divBdr>
                        </w:div>
                      </w:divsChild>
                    </w:div>
                    <w:div w:id="264306958">
                      <w:marLeft w:val="0"/>
                      <w:marRight w:val="0"/>
                      <w:marTop w:val="0"/>
                      <w:marBottom w:val="0"/>
                      <w:divBdr>
                        <w:top w:val="none" w:sz="0" w:space="0" w:color="auto"/>
                        <w:left w:val="none" w:sz="0" w:space="0" w:color="auto"/>
                        <w:bottom w:val="none" w:sz="0" w:space="0" w:color="auto"/>
                        <w:right w:val="none" w:sz="0" w:space="0" w:color="auto"/>
                      </w:divBdr>
                      <w:divsChild>
                        <w:div w:id="2024936094">
                          <w:marLeft w:val="0"/>
                          <w:marRight w:val="0"/>
                          <w:marTop w:val="120"/>
                          <w:marBottom w:val="0"/>
                          <w:divBdr>
                            <w:top w:val="none" w:sz="0" w:space="0" w:color="auto"/>
                            <w:left w:val="none" w:sz="0" w:space="0" w:color="auto"/>
                            <w:bottom w:val="none" w:sz="0" w:space="0" w:color="auto"/>
                            <w:right w:val="none" w:sz="0" w:space="0" w:color="auto"/>
                          </w:divBdr>
                        </w:div>
                        <w:div w:id="1013916324">
                          <w:marLeft w:val="0"/>
                          <w:marRight w:val="0"/>
                          <w:marTop w:val="0"/>
                          <w:marBottom w:val="0"/>
                          <w:divBdr>
                            <w:top w:val="none" w:sz="0" w:space="0" w:color="auto"/>
                            <w:left w:val="none" w:sz="0" w:space="0" w:color="auto"/>
                            <w:bottom w:val="none" w:sz="0" w:space="0" w:color="auto"/>
                            <w:right w:val="none" w:sz="0" w:space="0" w:color="auto"/>
                          </w:divBdr>
                        </w:div>
                      </w:divsChild>
                    </w:div>
                    <w:div w:id="254486936">
                      <w:marLeft w:val="0"/>
                      <w:marRight w:val="0"/>
                      <w:marTop w:val="0"/>
                      <w:marBottom w:val="0"/>
                      <w:divBdr>
                        <w:top w:val="none" w:sz="0" w:space="0" w:color="auto"/>
                        <w:left w:val="none" w:sz="0" w:space="0" w:color="auto"/>
                        <w:bottom w:val="none" w:sz="0" w:space="0" w:color="auto"/>
                        <w:right w:val="none" w:sz="0" w:space="0" w:color="auto"/>
                      </w:divBdr>
                      <w:divsChild>
                        <w:div w:id="182864924">
                          <w:marLeft w:val="0"/>
                          <w:marRight w:val="0"/>
                          <w:marTop w:val="120"/>
                          <w:marBottom w:val="0"/>
                          <w:divBdr>
                            <w:top w:val="none" w:sz="0" w:space="0" w:color="auto"/>
                            <w:left w:val="none" w:sz="0" w:space="0" w:color="auto"/>
                            <w:bottom w:val="none" w:sz="0" w:space="0" w:color="auto"/>
                            <w:right w:val="none" w:sz="0" w:space="0" w:color="auto"/>
                          </w:divBdr>
                        </w:div>
                        <w:div w:id="2067682350">
                          <w:marLeft w:val="0"/>
                          <w:marRight w:val="0"/>
                          <w:marTop w:val="0"/>
                          <w:marBottom w:val="0"/>
                          <w:divBdr>
                            <w:top w:val="none" w:sz="0" w:space="0" w:color="auto"/>
                            <w:left w:val="none" w:sz="0" w:space="0" w:color="auto"/>
                            <w:bottom w:val="none" w:sz="0" w:space="0" w:color="auto"/>
                            <w:right w:val="none" w:sz="0" w:space="0" w:color="auto"/>
                          </w:divBdr>
                        </w:div>
                      </w:divsChild>
                    </w:div>
                    <w:div w:id="786583376">
                      <w:marLeft w:val="0"/>
                      <w:marRight w:val="0"/>
                      <w:marTop w:val="0"/>
                      <w:marBottom w:val="0"/>
                      <w:divBdr>
                        <w:top w:val="none" w:sz="0" w:space="0" w:color="auto"/>
                        <w:left w:val="none" w:sz="0" w:space="0" w:color="auto"/>
                        <w:bottom w:val="none" w:sz="0" w:space="0" w:color="auto"/>
                        <w:right w:val="none" w:sz="0" w:space="0" w:color="auto"/>
                      </w:divBdr>
                      <w:divsChild>
                        <w:div w:id="1401900751">
                          <w:marLeft w:val="0"/>
                          <w:marRight w:val="0"/>
                          <w:marTop w:val="120"/>
                          <w:marBottom w:val="0"/>
                          <w:divBdr>
                            <w:top w:val="none" w:sz="0" w:space="0" w:color="auto"/>
                            <w:left w:val="none" w:sz="0" w:space="0" w:color="auto"/>
                            <w:bottom w:val="none" w:sz="0" w:space="0" w:color="auto"/>
                            <w:right w:val="none" w:sz="0" w:space="0" w:color="auto"/>
                          </w:divBdr>
                        </w:div>
                        <w:div w:id="1552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975795">
              <w:marLeft w:val="0"/>
              <w:marRight w:val="0"/>
              <w:marTop w:val="0"/>
              <w:marBottom w:val="0"/>
              <w:divBdr>
                <w:top w:val="none" w:sz="0" w:space="0" w:color="auto"/>
                <w:left w:val="none" w:sz="0" w:space="0" w:color="auto"/>
                <w:bottom w:val="none" w:sz="0" w:space="0" w:color="auto"/>
                <w:right w:val="none" w:sz="0" w:space="0" w:color="auto"/>
              </w:divBdr>
              <w:divsChild>
                <w:div w:id="124349440">
                  <w:marLeft w:val="0"/>
                  <w:marRight w:val="0"/>
                  <w:marTop w:val="0"/>
                  <w:marBottom w:val="0"/>
                  <w:divBdr>
                    <w:top w:val="none" w:sz="0" w:space="0" w:color="auto"/>
                    <w:left w:val="none" w:sz="0" w:space="0" w:color="auto"/>
                    <w:bottom w:val="none" w:sz="0" w:space="0" w:color="auto"/>
                    <w:right w:val="none" w:sz="0" w:space="0" w:color="auto"/>
                  </w:divBdr>
                </w:div>
              </w:divsChild>
            </w:div>
            <w:div w:id="1997029782">
              <w:marLeft w:val="0"/>
              <w:marRight w:val="0"/>
              <w:marTop w:val="0"/>
              <w:marBottom w:val="0"/>
              <w:divBdr>
                <w:top w:val="none" w:sz="0" w:space="0" w:color="auto"/>
                <w:left w:val="none" w:sz="0" w:space="0" w:color="auto"/>
                <w:bottom w:val="none" w:sz="0" w:space="0" w:color="auto"/>
                <w:right w:val="none" w:sz="0" w:space="0" w:color="auto"/>
              </w:divBdr>
              <w:divsChild>
                <w:div w:id="1043290401">
                  <w:marLeft w:val="0"/>
                  <w:marRight w:val="0"/>
                  <w:marTop w:val="0"/>
                  <w:marBottom w:val="0"/>
                  <w:divBdr>
                    <w:top w:val="none" w:sz="0" w:space="0" w:color="auto"/>
                    <w:left w:val="none" w:sz="0" w:space="0" w:color="auto"/>
                    <w:bottom w:val="none" w:sz="0" w:space="0" w:color="auto"/>
                    <w:right w:val="none" w:sz="0" w:space="0" w:color="auto"/>
                  </w:divBdr>
                </w:div>
              </w:divsChild>
            </w:div>
            <w:div w:id="90125586">
              <w:marLeft w:val="0"/>
              <w:marRight w:val="0"/>
              <w:marTop w:val="0"/>
              <w:marBottom w:val="0"/>
              <w:divBdr>
                <w:top w:val="none" w:sz="0" w:space="0" w:color="auto"/>
                <w:left w:val="none" w:sz="0" w:space="0" w:color="auto"/>
                <w:bottom w:val="none" w:sz="0" w:space="0" w:color="auto"/>
                <w:right w:val="none" w:sz="0" w:space="0" w:color="auto"/>
              </w:divBdr>
              <w:divsChild>
                <w:div w:id="970986110">
                  <w:marLeft w:val="0"/>
                  <w:marRight w:val="0"/>
                  <w:marTop w:val="0"/>
                  <w:marBottom w:val="0"/>
                  <w:divBdr>
                    <w:top w:val="none" w:sz="0" w:space="0" w:color="auto"/>
                    <w:left w:val="none" w:sz="0" w:space="0" w:color="auto"/>
                    <w:bottom w:val="none" w:sz="0" w:space="0" w:color="auto"/>
                    <w:right w:val="none" w:sz="0" w:space="0" w:color="auto"/>
                  </w:divBdr>
                </w:div>
              </w:divsChild>
            </w:div>
            <w:div w:id="437141590">
              <w:marLeft w:val="0"/>
              <w:marRight w:val="0"/>
              <w:marTop w:val="0"/>
              <w:marBottom w:val="0"/>
              <w:divBdr>
                <w:top w:val="none" w:sz="0" w:space="0" w:color="auto"/>
                <w:left w:val="none" w:sz="0" w:space="0" w:color="auto"/>
                <w:bottom w:val="none" w:sz="0" w:space="0" w:color="auto"/>
                <w:right w:val="none" w:sz="0" w:space="0" w:color="auto"/>
              </w:divBdr>
              <w:divsChild>
                <w:div w:id="322241123">
                  <w:marLeft w:val="0"/>
                  <w:marRight w:val="0"/>
                  <w:marTop w:val="0"/>
                  <w:marBottom w:val="0"/>
                  <w:divBdr>
                    <w:top w:val="none" w:sz="0" w:space="0" w:color="auto"/>
                    <w:left w:val="none" w:sz="0" w:space="0" w:color="auto"/>
                    <w:bottom w:val="none" w:sz="0" w:space="0" w:color="auto"/>
                    <w:right w:val="none" w:sz="0" w:space="0" w:color="auto"/>
                  </w:divBdr>
                </w:div>
              </w:divsChild>
            </w:div>
            <w:div w:id="324817411">
              <w:marLeft w:val="0"/>
              <w:marRight w:val="0"/>
              <w:marTop w:val="0"/>
              <w:marBottom w:val="0"/>
              <w:divBdr>
                <w:top w:val="none" w:sz="0" w:space="0" w:color="auto"/>
                <w:left w:val="none" w:sz="0" w:space="0" w:color="auto"/>
                <w:bottom w:val="none" w:sz="0" w:space="0" w:color="auto"/>
                <w:right w:val="none" w:sz="0" w:space="0" w:color="auto"/>
              </w:divBdr>
              <w:divsChild>
                <w:div w:id="11775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54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gif"/><Relationship Id="rId21" Type="http://schemas.openxmlformats.org/officeDocument/2006/relationships/image" Target="media/image10.jpeg"/><Relationship Id="rId42" Type="http://schemas.openxmlformats.org/officeDocument/2006/relationships/image" Target="media/image31.jpe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jpeg"/><Relationship Id="rId84" Type="http://schemas.openxmlformats.org/officeDocument/2006/relationships/image" Target="media/image73.png"/><Relationship Id="rId89" Type="http://schemas.openxmlformats.org/officeDocument/2006/relationships/image" Target="media/image78.png"/><Relationship Id="rId112" Type="http://schemas.openxmlformats.org/officeDocument/2006/relationships/header" Target="header3.xml"/><Relationship Id="rId16" Type="http://schemas.openxmlformats.org/officeDocument/2006/relationships/image" Target="media/image5.png"/><Relationship Id="rId107" Type="http://schemas.openxmlformats.org/officeDocument/2006/relationships/image" Target="media/image96.jpeg"/><Relationship Id="rId11" Type="http://schemas.openxmlformats.org/officeDocument/2006/relationships/endnotes" Target="endnotes.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102" Type="http://schemas.openxmlformats.org/officeDocument/2006/relationships/image" Target="media/image91.png"/><Relationship Id="rId5" Type="http://schemas.openxmlformats.org/officeDocument/2006/relationships/customXml" Target="../customXml/item5.xml"/><Relationship Id="rId90" Type="http://schemas.openxmlformats.org/officeDocument/2006/relationships/image" Target="media/image79.png"/><Relationship Id="rId95" Type="http://schemas.openxmlformats.org/officeDocument/2006/relationships/image" Target="media/image84.png"/><Relationship Id="rId22" Type="http://schemas.openxmlformats.org/officeDocument/2006/relationships/image" Target="media/image11.png"/><Relationship Id="rId27" Type="http://schemas.openxmlformats.org/officeDocument/2006/relationships/image" Target="media/image16.jpeg"/><Relationship Id="rId43" Type="http://schemas.openxmlformats.org/officeDocument/2006/relationships/image" Target="media/image32.jpeg"/><Relationship Id="rId48" Type="http://schemas.openxmlformats.org/officeDocument/2006/relationships/image" Target="media/image37.png"/><Relationship Id="rId64" Type="http://schemas.openxmlformats.org/officeDocument/2006/relationships/image" Target="media/image53.png"/><Relationship Id="rId69" Type="http://schemas.openxmlformats.org/officeDocument/2006/relationships/image" Target="media/image58.png"/><Relationship Id="rId113" Type="http://schemas.openxmlformats.org/officeDocument/2006/relationships/footer" Target="footer3.xml"/><Relationship Id="rId80" Type="http://schemas.openxmlformats.org/officeDocument/2006/relationships/image" Target="media/image69.jpeg"/><Relationship Id="rId85" Type="http://schemas.openxmlformats.org/officeDocument/2006/relationships/image" Target="media/image74.jpeg"/><Relationship Id="rId12" Type="http://schemas.openxmlformats.org/officeDocument/2006/relationships/image" Target="media/image1.jpeg"/><Relationship Id="rId17" Type="http://schemas.openxmlformats.org/officeDocument/2006/relationships/image" Target="media/image6.png"/><Relationship Id="rId33" Type="http://schemas.openxmlformats.org/officeDocument/2006/relationships/image" Target="media/image22.jpeg"/><Relationship Id="rId38" Type="http://schemas.openxmlformats.org/officeDocument/2006/relationships/image" Target="media/image27.png"/><Relationship Id="rId59" Type="http://schemas.openxmlformats.org/officeDocument/2006/relationships/image" Target="media/image48.png"/><Relationship Id="rId103" Type="http://schemas.openxmlformats.org/officeDocument/2006/relationships/image" Target="media/image92.jpeg"/><Relationship Id="rId108" Type="http://schemas.openxmlformats.org/officeDocument/2006/relationships/header" Target="header1.xml"/><Relationship Id="rId54" Type="http://schemas.openxmlformats.org/officeDocument/2006/relationships/image" Target="media/image43.jpeg"/><Relationship Id="rId70" Type="http://schemas.openxmlformats.org/officeDocument/2006/relationships/image" Target="media/image59.png"/><Relationship Id="rId75" Type="http://schemas.openxmlformats.org/officeDocument/2006/relationships/image" Target="media/image64.jpeg"/><Relationship Id="rId91" Type="http://schemas.openxmlformats.org/officeDocument/2006/relationships/image" Target="media/image80.png"/><Relationship Id="rId96" Type="http://schemas.openxmlformats.org/officeDocument/2006/relationships/image" Target="media/image85.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6" Type="http://schemas.openxmlformats.org/officeDocument/2006/relationships/image" Target="media/image95.jpeg"/><Relationship Id="rId114"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image" Target="media/image20.jpe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jpeg"/><Relationship Id="rId73" Type="http://schemas.openxmlformats.org/officeDocument/2006/relationships/image" Target="media/image62.jpe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jpe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109" Type="http://schemas.openxmlformats.org/officeDocument/2006/relationships/header" Target="header2.xml"/><Relationship Id="rId34" Type="http://schemas.openxmlformats.org/officeDocument/2006/relationships/image" Target="media/image23.jpe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jpeg"/><Relationship Id="rId97" Type="http://schemas.openxmlformats.org/officeDocument/2006/relationships/image" Target="media/image86.png"/><Relationship Id="rId104" Type="http://schemas.openxmlformats.org/officeDocument/2006/relationships/image" Target="media/image93.jpeg"/><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emf"/><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jpeg"/><Relationship Id="rId110" Type="http://schemas.openxmlformats.org/officeDocument/2006/relationships/footer" Target="footer1.xml"/><Relationship Id="rId115" Type="http://schemas.openxmlformats.org/officeDocument/2006/relationships/theme" Target="theme/theme1.xml"/><Relationship Id="rId61" Type="http://schemas.openxmlformats.org/officeDocument/2006/relationships/image" Target="media/image50.png"/><Relationship Id="rId82" Type="http://schemas.openxmlformats.org/officeDocument/2006/relationships/image" Target="media/image71.jpe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jpe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jpeg"/><Relationship Id="rId8" Type="http://schemas.openxmlformats.org/officeDocument/2006/relationships/settings" Target="settings.xml"/><Relationship Id="rId51" Type="http://schemas.openxmlformats.org/officeDocument/2006/relationships/image" Target="media/image40.jpeg"/><Relationship Id="rId72" Type="http://schemas.openxmlformats.org/officeDocument/2006/relationships/image" Target="media/image61.jpeg"/><Relationship Id="rId93" Type="http://schemas.openxmlformats.org/officeDocument/2006/relationships/image" Target="media/image82.png"/><Relationship Id="rId98" Type="http://schemas.openxmlformats.org/officeDocument/2006/relationships/image" Target="media/image87.png"/><Relationship Id="rId3" Type="http://schemas.openxmlformats.org/officeDocument/2006/relationships/customXml" Target="../customXml/item3.xml"/><Relationship Id="rId25" Type="http://schemas.openxmlformats.org/officeDocument/2006/relationships/image" Target="media/image14.png"/><Relationship Id="rId46" Type="http://schemas.openxmlformats.org/officeDocument/2006/relationships/image" Target="media/image35.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62" Type="http://schemas.openxmlformats.org/officeDocument/2006/relationships/image" Target="media/image51.jpeg"/><Relationship Id="rId83" Type="http://schemas.openxmlformats.org/officeDocument/2006/relationships/image" Target="media/image72.png"/><Relationship Id="rId88" Type="http://schemas.openxmlformats.org/officeDocument/2006/relationships/image" Target="media/image77.png"/><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Props1.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2E8EF-D770-47C2-9539-84EA45E4CFA8}">
  <ds:schemaRefs>
    <ds:schemaRef ds:uri="http://schemas.microsoft.com/sharepoint/v3/contenttype/forms"/>
  </ds:schemaRefs>
</ds:datastoreItem>
</file>

<file path=customXml/itemProps3.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4.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592115-1083-4203-ABFD-04803716B09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126</Pages>
  <Words>54571</Words>
  <Characters>316518</Characters>
  <Application>Microsoft Office Word</Application>
  <DocSecurity>0</DocSecurity>
  <Lines>2637</Lines>
  <Paragraphs>740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2026-03-27T13:51:00Z</cp:lastPrinted>
  <dcterms:created xsi:type="dcterms:W3CDTF">2026-03-27T13:53:00Z</dcterms:created>
  <dcterms:modified xsi:type="dcterms:W3CDTF">2026-03-27T13:53:00Z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ClassificationContentMarkingHeaderShapeIds">
    <vt:lpwstr>15,16,17</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18,19,1a</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70108aff-3426-4749-9d04-de3a5077dcce_Enabled">
    <vt:lpwstr>true</vt:lpwstr>
  </property>
  <property fmtid="{D5CDD505-2E9C-101B-9397-08002B2CF9AE}" pid="12" name="MSIP_Label_70108aff-3426-4749-9d04-de3a5077dcce_SetDate">
    <vt:lpwstr>2025-09-12T12:31:21Z</vt:lpwstr>
  </property>
  <property fmtid="{D5CDD505-2E9C-101B-9397-08002B2CF9AE}" pid="13" name="MSIP_Label_70108aff-3426-4749-9d04-de3a5077dcce_Method">
    <vt:lpwstr>Privileged</vt:lpwstr>
  </property>
  <property fmtid="{D5CDD505-2E9C-101B-9397-08002B2CF9AE}" pid="14" name="MSIP_Label_70108aff-3426-4749-9d04-de3a5077dcce_Name">
    <vt:lpwstr>SP-2</vt:lpwstr>
  </property>
  <property fmtid="{D5CDD505-2E9C-101B-9397-08002B2CF9AE}" pid="15" name="MSIP_Label_70108aff-3426-4749-9d04-de3a5077dcce_SiteId">
    <vt:lpwstr>5887d430-0034-4561-b771-12c77faf2fa0</vt:lpwstr>
  </property>
  <property fmtid="{D5CDD505-2E9C-101B-9397-08002B2CF9AE}" pid="16" name="MSIP_Label_70108aff-3426-4749-9d04-de3a5077dcce_ActionId">
    <vt:lpwstr>30d31837-702d-4ef1-a5d2-b9a2a63e0461</vt:lpwstr>
  </property>
  <property fmtid="{D5CDD505-2E9C-101B-9397-08002B2CF9AE}" pid="17" name="MSIP_Label_70108aff-3426-4749-9d04-de3a5077dcce_ContentBits">
    <vt:lpwstr>3</vt:lpwstr>
  </property>
</Properties>
</file>